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heme="minorEastAsia" w:hAnsiTheme="minorEastAsia" w:eastAsiaTheme="minorEastAsia" w:cstheme="minorEastAsia"/>
          <w:b/>
          <w:bCs/>
          <w:sz w:val="28"/>
          <w:szCs w:val="28"/>
        </w:rPr>
        <w:t>第</w:t>
      </w:r>
      <w:r>
        <w:rPr>
          <w:rFonts w:hint="eastAsia" w:asciiTheme="minorEastAsia" w:hAnsiTheme="minorEastAsia" w:eastAsiaTheme="minorEastAsia" w:cstheme="minorEastAsia"/>
          <w:b/>
          <w:bCs/>
          <w:sz w:val="28"/>
          <w:szCs w:val="28"/>
          <w:lang w:val="en-US" w:eastAsia="zh-CN"/>
        </w:rPr>
        <w:t>12</w:t>
      </w:r>
      <w:r>
        <w:rPr>
          <w:rFonts w:hint="eastAsia" w:asciiTheme="minorEastAsia" w:hAnsiTheme="minorEastAsia" w:eastAsiaTheme="minorEastAsia" w:cstheme="minorEastAsia"/>
          <w:b/>
          <w:bCs/>
          <w:sz w:val="28"/>
          <w:szCs w:val="28"/>
        </w:rPr>
        <w:t>课  献血法律法规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E3CDF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5B7B3C82">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题</w:t>
            </w:r>
          </w:p>
        </w:tc>
        <w:tc>
          <w:tcPr>
            <w:tcW w:w="8664" w:type="dxa"/>
            <w:gridSpan w:val="2"/>
            <w:tcBorders>
              <w:tl2br w:val="nil"/>
              <w:tr2bl w:val="nil"/>
            </w:tcBorders>
            <w:vAlign w:val="center"/>
          </w:tcPr>
          <w:p w14:paraId="4F7409C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献血法律法规</w:t>
            </w:r>
          </w:p>
        </w:tc>
      </w:tr>
      <w:tr w14:paraId="4BC45D3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465333F6">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时</w:t>
            </w:r>
          </w:p>
        </w:tc>
        <w:tc>
          <w:tcPr>
            <w:tcW w:w="8664" w:type="dxa"/>
            <w:gridSpan w:val="2"/>
            <w:tcBorders>
              <w:tl2br w:val="nil"/>
              <w:tr2bl w:val="nil"/>
            </w:tcBorders>
            <w:vAlign w:val="center"/>
          </w:tcPr>
          <w:p w14:paraId="2A474C38">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lang w:val="en-US" w:eastAsia="zh-CN"/>
              </w:rPr>
              <w:t>3</w:t>
            </w:r>
            <w:r>
              <w:rPr>
                <w:rFonts w:hint="eastAsia" w:asciiTheme="minorEastAsia" w:hAnsiTheme="minorEastAsia" w:eastAsiaTheme="minorEastAsia" w:cstheme="minorEastAsia"/>
                <w:szCs w:val="20"/>
              </w:rPr>
              <w:t>课时（1</w:t>
            </w:r>
            <w:r>
              <w:rPr>
                <w:rFonts w:hint="eastAsia" w:asciiTheme="minorEastAsia" w:hAnsiTheme="minorEastAsia" w:eastAsiaTheme="minorEastAsia" w:cstheme="minorEastAsia"/>
                <w:szCs w:val="20"/>
                <w:lang w:val="en-US" w:eastAsia="zh-CN"/>
              </w:rPr>
              <w:t>35</w:t>
            </w:r>
            <w:r>
              <w:rPr>
                <w:rFonts w:hint="eastAsia" w:asciiTheme="minorEastAsia" w:hAnsiTheme="minorEastAsia" w:eastAsiaTheme="minorEastAsia" w:cstheme="minorEastAsia"/>
                <w:szCs w:val="20"/>
              </w:rPr>
              <w:t xml:space="preserve"> min）。</w:t>
            </w:r>
          </w:p>
        </w:tc>
      </w:tr>
      <w:tr w14:paraId="0AD1A73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3380FF75">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教学目标</w:t>
            </w:r>
          </w:p>
        </w:tc>
        <w:tc>
          <w:tcPr>
            <w:tcW w:w="8664" w:type="dxa"/>
            <w:gridSpan w:val="2"/>
            <w:tcBorders>
              <w:tl2br w:val="nil"/>
              <w:tr2bl w:val="nil"/>
            </w:tcBorders>
            <w:vAlign w:val="center"/>
          </w:tcPr>
          <w:p w14:paraId="2672312A">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rPr>
            </w:pPr>
            <w:r>
              <w:rPr>
                <w:rFonts w:hint="eastAsia" w:asciiTheme="minorEastAsia" w:hAnsiTheme="minorEastAsia" w:eastAsiaTheme="minorEastAsia" w:cstheme="minorEastAsia"/>
                <w:b/>
              </w:rPr>
              <w:t>知识技能目标：</w:t>
            </w:r>
          </w:p>
          <w:p w14:paraId="07E6DA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 xml:space="preserve">1. 掌握献血法的概念、立法目的。 </w:t>
            </w:r>
          </w:p>
          <w:p w14:paraId="778EA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2. 熟悉无偿献血制度、采供血站的管理、血液制品的管理的相关法律法规以及违反献血法的法律责任。</w:t>
            </w:r>
          </w:p>
          <w:p w14:paraId="7497FA7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思政育人目标：</w:t>
            </w:r>
          </w:p>
          <w:p w14:paraId="6DA979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color w:val="231F20"/>
                <w:kern w:val="0"/>
                <w:sz w:val="21"/>
                <w:szCs w:val="21"/>
                <w:lang w:val="en-US" w:eastAsia="zh-CN" w:bidi="ar"/>
              </w:rPr>
              <w:t>具备依法参与采供血站、临床用血及血液制品生产经营管理相关工作必要的执业素质。</w:t>
            </w:r>
          </w:p>
        </w:tc>
      </w:tr>
      <w:tr w14:paraId="506C3F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5A571655">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教学重难点</w:t>
            </w:r>
          </w:p>
        </w:tc>
        <w:tc>
          <w:tcPr>
            <w:tcW w:w="8664" w:type="dxa"/>
            <w:gridSpan w:val="2"/>
            <w:tcBorders>
              <w:tl2br w:val="nil"/>
              <w:tr2bl w:val="nil"/>
            </w:tcBorders>
            <w:vAlign w:val="center"/>
          </w:tcPr>
          <w:p w14:paraId="20246D6A">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b/>
                <w:szCs w:val="20"/>
              </w:rPr>
              <w:t>教学重点：</w:t>
            </w:r>
            <w:r>
              <w:rPr>
                <w:rFonts w:hint="eastAsia" w:asciiTheme="minorEastAsia" w:hAnsiTheme="minorEastAsia" w:eastAsiaTheme="minorEastAsia" w:cstheme="minorEastAsia"/>
                <w:kern w:val="0"/>
              </w:rPr>
              <w:t>献血法的概念</w:t>
            </w:r>
          </w:p>
          <w:p w14:paraId="69F6B8B6">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
                <w:szCs w:val="20"/>
              </w:rPr>
              <w:t>教学难点：</w:t>
            </w:r>
            <w:r>
              <w:rPr>
                <w:rFonts w:hint="eastAsia" w:asciiTheme="minorEastAsia" w:hAnsiTheme="minorEastAsia" w:eastAsiaTheme="minorEastAsia" w:cstheme="minorEastAsia"/>
                <w:kern w:val="0"/>
              </w:rPr>
              <w:t>献血法立法的目的</w:t>
            </w:r>
          </w:p>
        </w:tc>
      </w:tr>
      <w:tr w14:paraId="377630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4C9077B8">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教学方法</w:t>
            </w:r>
          </w:p>
        </w:tc>
        <w:tc>
          <w:tcPr>
            <w:tcW w:w="8664" w:type="dxa"/>
            <w:gridSpan w:val="2"/>
            <w:tcBorders>
              <w:tl2br w:val="nil"/>
              <w:tr2bl w:val="nil"/>
            </w:tcBorders>
            <w:vAlign w:val="center"/>
          </w:tcPr>
          <w:p w14:paraId="0024768F">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讲授法、问答法、讨论法</w:t>
            </w:r>
          </w:p>
        </w:tc>
      </w:tr>
      <w:tr w14:paraId="381EE9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6EEB004A">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教学用具</w:t>
            </w:r>
          </w:p>
        </w:tc>
        <w:tc>
          <w:tcPr>
            <w:tcW w:w="8664" w:type="dxa"/>
            <w:gridSpan w:val="2"/>
            <w:tcBorders>
              <w:tl2br w:val="nil"/>
              <w:tr2bl w:val="nil"/>
            </w:tcBorders>
            <w:vAlign w:val="center"/>
          </w:tcPr>
          <w:p w14:paraId="16345AF3">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电脑、投影仪、多媒体课件、教材</w:t>
            </w:r>
          </w:p>
        </w:tc>
      </w:tr>
      <w:tr w14:paraId="2D72E3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bottom w:val="double" w:color="4472C4" w:themeColor="accent5" w:sz="4" w:space="0"/>
              <w:tl2br w:val="nil"/>
              <w:tr2bl w:val="nil"/>
            </w:tcBorders>
            <w:shd w:val="clear" w:color="auto" w:fill="C8E6FF"/>
            <w:vAlign w:val="center"/>
          </w:tcPr>
          <w:p w14:paraId="1E0B595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教学设计</w:t>
            </w:r>
          </w:p>
        </w:tc>
        <w:tc>
          <w:tcPr>
            <w:tcW w:w="8664" w:type="dxa"/>
            <w:gridSpan w:val="2"/>
            <w:tcBorders>
              <w:bottom w:val="double" w:color="4472C4" w:themeColor="accent5" w:sz="4" w:space="0"/>
              <w:tl2br w:val="nil"/>
              <w:tr2bl w:val="nil"/>
            </w:tcBorders>
            <w:vAlign w:val="center"/>
          </w:tcPr>
          <w:p w14:paraId="0BBB2946">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第1节课：</w:t>
            </w:r>
            <w:r>
              <w:rPr>
                <w:rFonts w:hint="eastAsia" w:asciiTheme="minorEastAsia" w:hAnsiTheme="minorEastAsia" w:eastAsiaTheme="minorEastAsia" w:cstheme="minorEastAsia"/>
                <w:szCs w:val="20"/>
                <w:lang w:eastAsia="zh-CN"/>
              </w:rPr>
              <w:t>考勤</w:t>
            </w:r>
            <w:r>
              <w:rPr>
                <w:rFonts w:hint="eastAsia" w:asciiTheme="minorEastAsia" w:hAnsiTheme="minorEastAsia" w:eastAsiaTheme="minorEastAsia" w:cstheme="minorEastAsia"/>
                <w:szCs w:val="20"/>
              </w:rPr>
              <w:t>（</w:t>
            </w:r>
            <w:r>
              <w:rPr>
                <w:rFonts w:hint="eastAsia" w:asciiTheme="minorEastAsia" w:hAnsiTheme="minorEastAsia" w:eastAsiaTheme="minorEastAsia" w:cstheme="minorEastAsia"/>
                <w:szCs w:val="20"/>
                <w:lang w:val="en-US" w:eastAsia="zh-CN"/>
              </w:rPr>
              <w:t>2</w:t>
            </w:r>
            <w:r>
              <w:rPr>
                <w:rFonts w:hint="eastAsia" w:asciiTheme="minorEastAsia" w:hAnsiTheme="minorEastAsia" w:eastAsiaTheme="minorEastAsia" w:cstheme="minorEastAsia"/>
                <w:szCs w:val="20"/>
              </w:rPr>
              <w:t>min）--</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val="en-US" w:eastAsia="zh-CN"/>
              </w:rPr>
              <w:t>--作业布置（3min）</w:t>
            </w:r>
          </w:p>
          <w:p w14:paraId="77CA8442">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第2节课：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val="en-US" w:eastAsia="zh-CN"/>
              </w:rPr>
              <w:t>--作业布置（2min）</w:t>
            </w:r>
          </w:p>
          <w:p w14:paraId="07A0C0DC">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kern w:val="0"/>
                <w:szCs w:val="20"/>
              </w:rPr>
              <w:t>第3节课：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eastAsia="zh-CN"/>
              </w:rPr>
              <w:t>作业布置</w:t>
            </w:r>
            <w:r>
              <w:rPr>
                <w:rFonts w:hint="eastAsia" w:asciiTheme="minorEastAsia" w:hAnsiTheme="minorEastAsia" w:eastAsiaTheme="minorEastAsia" w:cstheme="minorEastAsia"/>
                <w:szCs w:val="20"/>
              </w:rPr>
              <w:t>（2min）</w:t>
            </w:r>
          </w:p>
        </w:tc>
      </w:tr>
      <w:tr w14:paraId="2F9E08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bottom w:val="double" w:color="4472C4" w:themeColor="accent5" w:sz="4" w:space="0"/>
            </w:tcBorders>
            <w:shd w:val="clear" w:color="auto" w:fill="C8E6FF"/>
            <w:vAlign w:val="center"/>
          </w:tcPr>
          <w:p w14:paraId="339D1A4E">
            <w:pPr>
              <w:keepNext w:val="0"/>
              <w:keepLines w:val="0"/>
              <w:suppressLineNumbers w:val="0"/>
              <w:spacing w:before="0" w:beforeAutospacing="0" w:after="0" w:afterAutospacing="0" w:line="360" w:lineRule="auto"/>
              <w:ind w:left="0" w:right="0" w:hanging="8"/>
              <w:jc w:val="center"/>
              <w:rPr>
                <w:rFonts w:hint="eastAsia" w:asciiTheme="minorEastAsia" w:hAnsiTheme="minorEastAsia" w:eastAsiaTheme="minorEastAsia" w:cstheme="minorEastAsia"/>
                <w:b/>
                <w:bCs w:val="0"/>
                <w:color w:val="C00000"/>
                <w:szCs w:val="24"/>
              </w:rPr>
            </w:pPr>
            <w:r>
              <w:rPr>
                <w:rFonts w:hint="eastAsia" w:asciiTheme="minorEastAsia" w:hAnsiTheme="minorEastAsia" w:eastAsiaTheme="minorEastAsia" w:cstheme="minorEastAsia"/>
                <w:b/>
                <w:bCs w:val="0"/>
                <w:color w:val="C00000"/>
                <w:szCs w:val="24"/>
              </w:rPr>
              <w:t>教学过程</w:t>
            </w:r>
          </w:p>
        </w:tc>
        <w:tc>
          <w:tcPr>
            <w:tcW w:w="7014" w:type="dxa"/>
            <w:tcBorders>
              <w:top w:val="double" w:color="4472C4" w:themeColor="accent5" w:sz="4" w:space="0"/>
              <w:bottom w:val="double" w:color="4472C4" w:themeColor="accent5" w:sz="4" w:space="0"/>
            </w:tcBorders>
            <w:shd w:val="clear" w:color="auto" w:fill="C8E6FF"/>
            <w:vAlign w:val="center"/>
          </w:tcPr>
          <w:p w14:paraId="5CCD79A7">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4"/>
              </w:rPr>
              <w:t>主 要 教 学 内 容 及 步 骤</w:t>
            </w:r>
          </w:p>
        </w:tc>
        <w:tc>
          <w:tcPr>
            <w:tcW w:w="1650" w:type="dxa"/>
            <w:tcBorders>
              <w:top w:val="double" w:color="4472C4" w:themeColor="accent5" w:sz="4" w:space="0"/>
              <w:bottom w:val="double" w:color="4472C4" w:themeColor="accent5" w:sz="4" w:space="0"/>
            </w:tcBorders>
            <w:shd w:val="clear" w:color="auto" w:fill="C8E6FF"/>
            <w:vAlign w:val="center"/>
          </w:tcPr>
          <w:p w14:paraId="33BC5046">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0"/>
              </w:rPr>
              <w:t>设计意图</w:t>
            </w:r>
          </w:p>
        </w:tc>
      </w:tr>
      <w:tr w14:paraId="2689AE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tl2br w:val="nil"/>
              <w:tr2bl w:val="nil"/>
            </w:tcBorders>
            <w:shd w:val="clear" w:color="auto" w:fill="C8E6FF"/>
            <w:vAlign w:val="center"/>
          </w:tcPr>
          <w:p w14:paraId="5971CFC8">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考勤</w:t>
            </w:r>
          </w:p>
          <w:p w14:paraId="0DD3596A">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w:t>
            </w:r>
            <w:r>
              <w:rPr>
                <w:rFonts w:hint="eastAsia" w:asciiTheme="minorEastAsia" w:hAnsiTheme="minorEastAsia" w:eastAsiaTheme="minorEastAsia" w:cstheme="minorEastAsia"/>
                <w:b/>
                <w:szCs w:val="24"/>
                <w:lang w:val="en-US" w:eastAsia="zh-CN"/>
              </w:rPr>
              <w:t>2min</w:t>
            </w:r>
            <w:r>
              <w:rPr>
                <w:rFonts w:hint="eastAsia" w:asciiTheme="minorEastAsia" w:hAnsiTheme="minorEastAsia" w:eastAsiaTheme="minorEastAsia" w:cstheme="minorEastAsia"/>
                <w:b/>
                <w:szCs w:val="24"/>
                <w:lang w:eastAsia="zh-CN"/>
              </w:rPr>
              <w:t>）</w:t>
            </w:r>
          </w:p>
        </w:tc>
        <w:tc>
          <w:tcPr>
            <w:tcW w:w="7014" w:type="dxa"/>
            <w:tcBorders>
              <w:top w:val="double" w:color="4472C4" w:themeColor="accent5" w:sz="4" w:space="0"/>
              <w:tl2br w:val="nil"/>
              <w:tr2bl w:val="nil"/>
            </w:tcBorders>
            <w:vAlign w:val="center"/>
          </w:tcPr>
          <w:p w14:paraId="7DE3D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C00000"/>
                <w:szCs w:val="24"/>
              </w:rPr>
            </w:pPr>
            <w:r>
              <w:rPr>
                <w:rFonts w:hint="eastAsia" w:asciiTheme="minorEastAsia" w:hAnsiTheme="minorEastAsia" w:eastAsiaTheme="minorEastAsia" w:cstheme="minorEastAsia"/>
                <w:color w:val="C00000"/>
                <w:szCs w:val="24"/>
              </w:rPr>
              <w:t>■</w:t>
            </w:r>
            <w:r>
              <w:rPr>
                <w:rFonts w:hint="eastAsia" w:asciiTheme="minorEastAsia" w:hAnsiTheme="minorEastAsia" w:eastAsiaTheme="minorEastAsia" w:cstheme="minorEastAsia"/>
                <w:color w:val="C00000"/>
                <w:szCs w:val="24"/>
                <w:lang w:eastAsia="zh-CN"/>
              </w:rPr>
              <w:t>【教师】</w:t>
            </w:r>
            <w:r>
              <w:rPr>
                <w:rFonts w:hint="eastAsia" w:asciiTheme="minorEastAsia" w:hAnsiTheme="minorEastAsia" w:eastAsiaTheme="minorEastAsia" w:cstheme="minorEastAsia"/>
                <w:color w:val="C00000"/>
                <w:szCs w:val="24"/>
              </w:rPr>
              <w:t>清点上课人数，记录好考勤</w:t>
            </w:r>
          </w:p>
          <w:p w14:paraId="17E3EF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color w:val="548235" w:themeColor="accent6" w:themeShade="BF"/>
                <w:szCs w:val="24"/>
              </w:rPr>
              <w:t>■</w:t>
            </w:r>
            <w:r>
              <w:rPr>
                <w:rFonts w:hint="eastAsia" w:asciiTheme="minorEastAsia" w:hAnsiTheme="minorEastAsia" w:eastAsiaTheme="minorEastAsia" w:cstheme="minorEastAsia"/>
                <w:color w:val="548235" w:themeColor="accent6" w:themeShade="BF"/>
                <w:szCs w:val="24"/>
                <w:lang w:eastAsia="zh-CN"/>
              </w:rPr>
              <w:t>【学生】</w:t>
            </w:r>
            <w:r>
              <w:rPr>
                <w:rFonts w:hint="eastAsia" w:asciiTheme="minorEastAsia" w:hAnsiTheme="minorEastAsia" w:eastAsiaTheme="minorEastAsia" w:cstheme="minorEastAsia"/>
                <w:color w:val="548235" w:themeColor="accent6" w:themeShade="BF"/>
                <w:szCs w:val="24"/>
              </w:rPr>
              <w:t>班干部报请假人员及原因</w:t>
            </w:r>
          </w:p>
        </w:tc>
        <w:tc>
          <w:tcPr>
            <w:tcW w:w="1650" w:type="dxa"/>
            <w:tcBorders>
              <w:top w:val="double" w:color="4472C4" w:themeColor="accent5" w:sz="4" w:space="0"/>
              <w:tl2br w:val="nil"/>
              <w:tr2bl w:val="nil"/>
            </w:tcBorders>
            <w:vAlign w:val="center"/>
          </w:tcPr>
          <w:p w14:paraId="63E7A27C">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培养学生的组织纪律性</w:t>
            </w:r>
            <w:r>
              <w:rPr>
                <w:rFonts w:hint="eastAsia" w:asciiTheme="minorEastAsia" w:hAnsiTheme="minorEastAsia" w:eastAsiaTheme="minorEastAsia" w:cstheme="minorEastAsia"/>
                <w:szCs w:val="20"/>
                <w:lang w:eastAsia="zh-CN"/>
              </w:rPr>
              <w:t>，</w:t>
            </w:r>
            <w:bookmarkStart w:id="0" w:name="_GoBack"/>
            <w:bookmarkEnd w:id="0"/>
            <w:r>
              <w:rPr>
                <w:rFonts w:hint="eastAsia" w:asciiTheme="minorEastAsia" w:hAnsiTheme="minorEastAsia" w:eastAsiaTheme="minorEastAsia" w:cstheme="minorEastAsia"/>
                <w:szCs w:val="20"/>
              </w:rPr>
              <w:t>掌握学生的出勤情况</w:t>
            </w:r>
          </w:p>
        </w:tc>
      </w:tr>
      <w:tr w14:paraId="29E453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2B15310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4B578B42">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w:t>
            </w:r>
            <w:r>
              <w:rPr>
                <w:rFonts w:hint="eastAsia" w:asciiTheme="minorEastAsia" w:hAnsiTheme="minorEastAsia" w:eastAsiaTheme="minorEastAsia" w:cstheme="minorEastAsia"/>
                <w:szCs w:val="24"/>
                <w:lang w:val="en-US" w:eastAsia="zh-CN"/>
              </w:rPr>
              <w:t>40</w:t>
            </w:r>
            <w:r>
              <w:rPr>
                <w:rFonts w:hint="eastAsia" w:asciiTheme="minorEastAsia" w:hAnsiTheme="minorEastAsia" w:eastAsiaTheme="minorEastAsia" w:cstheme="minorEastAsia"/>
                <w:szCs w:val="24"/>
              </w:rPr>
              <w:t>min）</w:t>
            </w:r>
          </w:p>
        </w:tc>
        <w:tc>
          <w:tcPr>
            <w:tcW w:w="7014" w:type="dxa"/>
            <w:tcBorders>
              <w:tl2br w:val="nil"/>
              <w:tr2bl w:val="nil"/>
            </w:tcBorders>
            <w:vAlign w:val="center"/>
          </w:tcPr>
          <w:p w14:paraId="4615D476">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lang w:val="en-US"/>
              </w:rPr>
            </w:pPr>
            <w:r>
              <w:rPr>
                <w:rFonts w:hint="eastAsia" w:asciiTheme="minorEastAsia" w:hAnsiTheme="minorEastAsia" w:eastAsiaTheme="minorEastAsia" w:cstheme="minorEastAsia"/>
                <w:b/>
                <w:color w:val="C00000"/>
              </w:rPr>
              <w:t>【教师】</w:t>
            </w:r>
            <w:r>
              <w:rPr>
                <w:rFonts w:hint="eastAsia" w:asciiTheme="minorEastAsia" w:hAnsiTheme="minorEastAsia" w:eastAsiaTheme="minorEastAsia" w:cstheme="minorEastAsia"/>
                <w:b w:val="0"/>
                <w:bCs/>
                <w:color w:val="C00000"/>
                <w:lang w:val="en-US" w:eastAsia="zh-CN"/>
              </w:rPr>
              <w:t>展示献血法概述和无偿献血</w:t>
            </w:r>
          </w:p>
          <w:p w14:paraId="2FC2C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一、献血法的概念</w:t>
            </w:r>
          </w:p>
          <w:p w14:paraId="05986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献血法是指在保证临床用血需要和安全，保障献血者和用血者身体健康活动中产生的各种社会关系的法律规范的总称。为保证医疗临床用血需要和安全，保障献血者和用血者身体健康，发扬人道主义精神，促进社会主义物质文明和精神文明建设，1997年12月29日第八届全国人民代表大会常务委员会第29次会议通过的《中华人民共和国献血法》（以下简称《献血法》）由中华人民共和国主席令（第九十三号）予以公布，自1998年10月1日起执行。我国的献血法律制度，以《献血法》为根本，包括1996年12月6日国务院第52次常务会议通过的，于1996年12月30日予以发布并施行的《血液制品管理条例》，还包括原卫生部1999年1月7日制定的《医疗机构临床用血管理办法（试行）》、2000年6月1日制定的《临床输血技术规范》和2006年3月1日施行的新的《血站管理办法》及有关血液管理的地方性法规和规章。</w:t>
            </w:r>
          </w:p>
          <w:p w14:paraId="3B1D02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二、献血法立法的目的</w:t>
            </w:r>
          </w:p>
          <w:p w14:paraId="5DD74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《献血法》第一条规定：“为保证医疗临床用血需要和安全，保障献血者和用血者身体健康，发扬人道主义精神，促进社会主义物质文明和精神文明建设，制定本法。”这就是献血法的立法宗旨和目的。</w:t>
            </w:r>
          </w:p>
          <w:p w14:paraId="13391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（一）保证医疗临床用血需要和安全</w:t>
            </w:r>
          </w:p>
          <w:p w14:paraId="6609B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由于现阶段人造血液不能广泛应用，且价格昂贵，尚不能取代血液，因此，医疗临床用血只能靠公民献血来解决。由于医疗临床用血量大和传统供血观念的影响，导致血源严重不足，远远满足不了实际需要，医疗临床用血不能充分保证。而且，由于个体供血者的血液质量不高，以乙肝、丙肝、艾滋病等为主的经血液途径传播的疾病容易引起疾病的蔓延，影响医疗临床用血的安全。所以，通过立法确立无偿献血制度，促进无偿献血事业的发展，保证医疗临床用血的需要和安全，是献血立法的主要目的。</w:t>
            </w:r>
          </w:p>
          <w:p w14:paraId="069D75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（二）保障献血者和用血者的身体健康</w:t>
            </w:r>
          </w:p>
          <w:p w14:paraId="44A855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输血是现代医疗的重要手段，是人类认识自己、征服伤病的伟大发现，它在临床医学领域中有着拯救生命、治疗疾病的重要作用。但是，血液是一种复杂的维持生命的物质，血液在采集、储存、使用过程中，必须确保质量，避免污染，防止经血液传播疾病。虽然为保障输血安全，我国对血液的采集、检验、监控、储存和运输都有着严格的规定，但是，根据现在的检测手段，漏检现象很难避免，一些经血液途径传播的疾病时</w:t>
            </w:r>
          </w:p>
          <w:p w14:paraId="0019CF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有发生。因此，保证血液质量是保证输血安全，保障用血者身体健康的前提。因此，只有依法实行公民无偿献血制度，禁止血液买卖，才是杜绝经血液途径传播疾病的隐患、保证医疗临床用血安全的根本途径。</w:t>
            </w:r>
          </w:p>
          <w:p w14:paraId="0847D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（三）促进社会主义物质文明和精神文明建设</w:t>
            </w:r>
          </w:p>
          <w:p w14:paraId="52D86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实行无偿献血，不仅能保障医疗临床用血的需要，保证输血安全，达到治病救人的目的，还是一种“我为人人，人人为我”的社会共济行为，是一种无私的奉献，是履行社会义务、尊重社会公德、发扬救死扶伤人道主义精神的重要体现。献血事业的发展程度，是社会文明程度的标志之一。公民献血行为，有助于弘扬中华民族团结、友爱、互助的传统美德，是促进社会主义物质文明和精神文明建设的具体体现。</w:t>
            </w:r>
          </w:p>
          <w:p w14:paraId="5C33B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无偿献血</w:t>
            </w:r>
          </w:p>
          <w:p w14:paraId="5B306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一、无偿献血概述</w:t>
            </w:r>
          </w:p>
          <w:p w14:paraId="415E7C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《献血法》第二条规定：“国家实行无偿献血制度。”</w:t>
            </w:r>
          </w:p>
          <w:p w14:paraId="5EEA35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多年来，我国存在着三种献血形式：个体供血、义务献血、无偿献血。个体供血，是公民向采供血机构提供自身血液而获取一定报酬的行为。在一个相当长的时期，我国的医疗临床用血主要靠这种献血形式支撑。由于个体供血受经济利益驱使，供血人员频繁大量抽血，血液质量不断下降，有的不法分子非</w:t>
            </w:r>
          </w:p>
          <w:p w14:paraId="611C2B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法组织卖血队伍，到处流窜，互争地盘，各霸一方，从中盘剥渔利，严重干扰了献血管理工作；加上有的采供血机构检测手段落后，一些传染性疾病无法查出，由血液传播的疾病时有发生。1978年国务院批转原卫生部《关于加强输血工作的请示报告》后，各省、自治区、直辖市相继开展了公民义务献血活动。义务献血是通过政府献血领导小组或献血委员会向机关、企事业单位分配献血指标，下达献血任务，献血后给予献血者一定营养补助费的献血制度。从实行公民义务献血制度以来，我国的输血事业有了长足的发展，对保障医疗临床用血起到重要作用。但是，义务献血制度是我国当时的计划经济在输血工作中的反映，在这种制度下，献血者是为了完成单位任务，被动地献血，没有充分调动献血者的积极性。单位为了完成献血指标，以高额补贴或长休假等形式予以刺激，有的单位完不成献血指标，出钱雇请个体供血者临时冒名顶替完成指标，从而形成变相卖血，扭曲了义务献血制度。</w:t>
            </w:r>
          </w:p>
          <w:p w14:paraId="077C8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无偿献血制度是指《献血法》所规定的年龄段中的健康公民向血站自觉自愿地提供自身的血液或某种血液成分用于临床，而不索取任何报酬的制度。1991年，在布达佩斯召开的红十字会和红新月会国际联合会经第八届大会通过第34号决议，将自愿无偿献血定义为：“出于自愿提供自身的血液、血浆或其他血液成分而不索取任何报酬的人被称为自愿无偿献血者。无论是金钱或礼品都可视为金钱的替代，包括休假和旅游等，而小型纪念品和茶点，以及支付交通费则是合理的。”毫无疑问，无偿献血是保证医疗安全用血的重要手段与必经途径。这是因为只有以人道主义无私奉献而不是以经济报酬为目</w:t>
            </w:r>
          </w:p>
          <w:p w14:paraId="7EA27D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的的无偿献血，才能保证血液质量，才能最大限度地降低经血液传播疾病的危险，从而保护受血者的安全，从根本上清除有偿供血带来的各种弊病。20世纪30年代以来，世界卫生组织和国际红十字会向世界各国呼吁“医疗用血采用无偿献血”的原则。经过几十年的不懈努力，世界上很多国家都从过去的有偿献血，逐步向无偿献血过渡，最终实现了公民无偿献血。例如，德国、日本、瑞士、美国、加拿大、澳大利亚等国家都先后全部或基本上实现了公民无偿献血。1984年，原卫生部和中国红十字会总会在全国倡导无偿献血，深圳市、海南省已率先通过地方立法确立了无偿献血制度。经过大力宣传，</w:t>
            </w:r>
          </w:p>
          <w:p w14:paraId="6CF0C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1996年，深圳市的无偿献血已达到医疗临床用血的42%。通过立法规范献血活动，保障献血者的合法权益，从而使无偿献血工作走上法制化的轨道，对促进无偿献血工作十分重要。</w:t>
            </w:r>
          </w:p>
          <w:p w14:paraId="0A339D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二、无偿献血的主体</w:t>
            </w:r>
          </w:p>
          <w:p w14:paraId="606A39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无偿献血的主体，世界各国规定不一致。我国《献血法》第二条指出，国家提倡18～55周岁的健康公民自愿献血。尽管我国各省、市对无偿献血主体的规定存在一定差别，但是《献血法》的规定是从实际出发和有科学依据的，主要是根据我国公民的身体素质和满足用血的需要等因素来确立的。一方面考虑到18周岁是我国法定的完全行为能力人的年龄界限，无偿献血是公民自愿的行为，需要具备完全行为能力人来决定，规定18周岁为无偿献血的最低年龄，与我国其他法律规定相一致；另一方面考虑到我国公民的体质状况和各地的做法，法律规定55周岁为无偿献血的终止年龄。但法律规定的终止献血年龄，只是法律的一般规定，并不是超过终止年龄的不允许献血。至于献血年龄，应考虑男女生理差别问题，医学研究表明，女性的造血功能比男性强，因而区分男女没有必要。因此，法律对男女公民献血年龄作了统一规定，各地应以《献血法》规定为准。</w:t>
            </w:r>
          </w:p>
          <w:p w14:paraId="6F5BBB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献血法》第六条规定，国家机关、军队、社会团体、企业事业组织、居民委员会、村民委员会应当动员和组织本单位和本居民区的适龄公民参加献血。对献血者，发给国务院卫生行政部门制作的无偿献血证书，有关单位可以给予适当补贴，如纪念品、误餐费和交通费等。</w:t>
            </w:r>
          </w:p>
          <w:p w14:paraId="0D8F3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对所有无偿献血者，由血站发给经国务院卫生行政部门制作的无偿献血证书。无偿献血证书既是献血者的荣誉证书，又是享受法定优惠的主要凭证。无偿献血证书必须编号，加盖公章。发放无偿献血证书必须做好登记备案。无偿献血者需要用血时，出示无偿献血证书是优惠用血的主要凭证。国务院卫生行政部门要采取有效措施，包括使用计算机全国联网的管理方式使无偿献血者的信息社会化管理程度更高，得以全国通用，以保证无偿献血者权益的落实。</w:t>
            </w:r>
          </w:p>
          <w:p w14:paraId="707046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家鼓励国家工作人员、现役军人和高等学校在校学生率先献血，为树立社会新风尚作表率。国家工作人员、现役军人和高等学校的在校学生，普遍具有较高的思想觉悟和文化素质，身体条件较好，是我国精神文明建设的重要力量，也是实行无偿献血的基本队伍。任何新制度、新风尚的确立和实行，总要有先进分子的带动和率先垂范。依法鼓励这部分人率先献血，是保证《献血法》顺利实施，避免医疗临床用血发生短缺，带动全社会树立救死扶伤的社会新风尚的有力措施。从开展无偿献血以来的实践看，也是这部分公民起着带头和表率作用。</w:t>
            </w:r>
          </w:p>
          <w:p w14:paraId="4C175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各级人民政府和红十字会对积极参加献血和在献血工作中做出显著成绩的单位和个人，给予奖励。无偿献血者及其配偶、直系亲属临床需要用血时，可以享受用血费用减免等优惠待遇。</w:t>
            </w:r>
          </w:p>
          <w:p w14:paraId="3739E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三、献血工作的管理体制</w:t>
            </w:r>
          </w:p>
          <w:p w14:paraId="76FF23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《献血法》第三条规定：“地方各级人民政府领导本行政区域内的献血工作，统一规划并负责组织、协调有关部门共同做好献血工作。”</w:t>
            </w:r>
          </w:p>
          <w:p w14:paraId="34341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（一）世界各国关于献血工作的管理体制</w:t>
            </w:r>
          </w:p>
          <w:p w14:paraId="1ACC1C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无偿献血最初是由国际红十字会组织倡导的，因此，国外无偿献血工作主要由各国红十字会组织。由于红十字会是民间团体，在开展献血活动中遇到困难，需要政府的支持，所以，国际红十字会组织要求各国红十字会与政府密切合作，共同推进无偿献血工作。为了加强血液的管理，保障输血安全，有的国家也通过立法等方式，确认政府的责任，加强对献血工作的管理。例如，希腊献血法规定由卫生福利社会安全部门全权负责组织献血活动；加拿大成立血液署、法国卫生部中设血液局，对血液工作进行指导和监督等。</w:t>
            </w:r>
          </w:p>
          <w:p w14:paraId="57C378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（二）我国献血工作的组织领导体制</w:t>
            </w:r>
          </w:p>
          <w:p w14:paraId="2C321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1.突出政府的领导作用</w:t>
            </w:r>
            <w:r>
              <w:rPr>
                <w:rFonts w:hint="eastAsia" w:asciiTheme="minorEastAsia" w:hAnsiTheme="minorEastAsia" w:eastAsiaTheme="minorEastAsia" w:cstheme="minorEastAsia"/>
                <w:color w:val="231F20"/>
                <w:kern w:val="0"/>
                <w:sz w:val="21"/>
                <w:szCs w:val="21"/>
                <w:lang w:val="en-US" w:eastAsia="zh-CN" w:bidi="ar"/>
              </w:rPr>
              <w:t>无偿献血关系到全体公民，涉及面广，做好无偿献血工作不仅是各级卫生行政部门的职责，还需要在各级政府的统一规划、组织、协调下，加强教育、宣传工作，要求各级红十字会等部门和组织的参与，国家机关、军队、社会团体、企业事业单位、居民委员会和村民委员会等，也要在宣传、动员和组织方面做许多具体工作。因此，它是一项政策性很强的群众性工作，单靠卫生行政部门是不能完成</w:t>
            </w:r>
          </w:p>
          <w:p w14:paraId="145372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的。我国开展无偿献血工作较好的城市的成功经验表明，要使无偿献血工作深入、持久地开展下去，必须加强各级人民政府的领导，通过政府行为，协调各方面力量，进行广泛的宣传、动员和组织工作。因此，《献血法》规定，地方各级人民政府领导本行政区域内的献血工作，统一规划并负责组织、协调有关部门共同做好献血工作；县级以上各级人民政府卫生行政部门监督管理献血工作。各级红十字会依法参与、推动献血工作；</w:t>
            </w:r>
          </w:p>
          <w:p w14:paraId="2B6388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各级人民政府采取措施广泛宣传献血的意义，普及献血的科学知识，开展预防和控制经血液途径传播的疾病的教育；新闻媒介应当开展献血的社会公益性宣传。</w:t>
            </w:r>
          </w:p>
          <w:p w14:paraId="3AFF4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2.强调卫生行政部门和红十字会的职责</w:t>
            </w:r>
            <w:r>
              <w:rPr>
                <w:rFonts w:hint="eastAsia" w:asciiTheme="minorEastAsia" w:hAnsiTheme="minorEastAsia" w:eastAsiaTheme="minorEastAsia" w:cstheme="minorEastAsia"/>
                <w:color w:val="231F20"/>
                <w:kern w:val="0"/>
                <w:sz w:val="21"/>
                <w:szCs w:val="21"/>
                <w:lang w:val="en-US" w:eastAsia="zh-CN" w:bidi="ar"/>
              </w:rPr>
              <w:t>各级卫生行政部门是医疗卫生事业的主管部门，献血工作是医疗卫生事业的一项重要组成部分。因此，对献血工作进行监督管理是各级卫生行政部门的职责。目前，大多数省、市规定由各级卫生行政部门主管献血工作，负责本行政区域内的采供血、医疗用血和采供血机构的监督管理。因此，《献血法》规定，县级以上各级人民政府卫生行政部门监督管理献血工作，并具体规定了国务院卫生行政部门的主要职责，如制定献血者的身体健康检查标准、制定血站技术操作规程，血液质量标准、制定血站的设立条件和管理办法等。</w:t>
            </w:r>
          </w:p>
          <w:p w14:paraId="750F0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1993年10月31日，第八届全国人大常委会第四次会议通过了《中华人民共和国红十字会法》（以下简称《红十字会法》）。《红十字会法》规定中国红十字会是中华人民共和国统一的红十字组织，是从事人道主义工作的社会救助团体；规定县级以上按行政区域建立地方各级红十字会；并且规定红十字会参与输血献血工作，推动无偿献血。各地在关于献血工作的地方立法中，对红十字会参与献血工作的职责都做出了具体规定。因此，《献血法》第四条规定：“各级红十字会依法参与、推动献血工作。”所谓参与而不是完全负责，是指根据《红十字会法》以及有关献血工作的地方立法的规定，红十字会政府和卫生行政部门进行无偿献血的宣传、动员和组织工作。</w:t>
            </w:r>
          </w:p>
          <w:p w14:paraId="47FB4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3.加强无偿献血的宣传教育工作</w:t>
            </w:r>
            <w:r>
              <w:rPr>
                <w:rFonts w:hint="eastAsia" w:asciiTheme="minorEastAsia" w:hAnsiTheme="minorEastAsia" w:eastAsiaTheme="minorEastAsia" w:cstheme="minorEastAsia"/>
                <w:color w:val="231F20"/>
                <w:kern w:val="0"/>
                <w:sz w:val="21"/>
                <w:szCs w:val="21"/>
                <w:lang w:val="en-US" w:eastAsia="zh-CN" w:bidi="ar"/>
              </w:rPr>
              <w:t>各级人民政府在领导、规划、组织、协调献血工作的同时，应当包括加强对献血宣传教育工作的领导。各级政府要组织有关职能部门、社会团体、卫生、教育机构、新闻部门，组织有关活动和运用电视、广播、报刊、宣传画等多种形式宣传、普及献血常识，使广大公民掌握献血对身体无害的卫生知识，把无偿献血看成是自己应尽的人道主义义务，是救死扶伤献爱心的善举。提高公民无偿献血</w:t>
            </w:r>
          </w:p>
          <w:p w14:paraId="2E630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的自觉性。</w:t>
            </w:r>
          </w:p>
          <w:p w14:paraId="02C8CE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卫生和教育机构应当利用各种形式和宣传工具进行健康教育，通俗易懂地宣传科学献血无损健康的知识和道理，组织卫生技术人员撰写血液科普知识资料、出版献血宣传画等，在公民中广泛开展预防和控制经血液途径传播疾病的教育。在中小学教材中编入血液生理常识和献血知识，使中小学生从小就懂得科学合理的献血无损健康，培养他们献血助人的美德。无偿献血的宣传是社会公益性宣传。无偿献血制度的推行，需要新闻媒体加大宣传力度，使公民逐步转变旧观念。无偿献血的宣传要注重社会效益，不应以赢利为目的。因此，《献血法》第五条规定：“各级人民政府采取措施广泛宣传献血</w:t>
            </w:r>
          </w:p>
          <w:p w14:paraId="11DD1E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的意义，普及献血的科学知识，开展预防和控制经血液途径传播的疾病的教育。新闻媒介应当开展献血的社会公益性宣传。”</w:t>
            </w:r>
          </w:p>
          <w:p w14:paraId="49CDF1F1">
            <w:pPr>
              <w:keepNext w:val="0"/>
              <w:keepLines w:val="0"/>
              <w:widowControl w:val="0"/>
              <w:suppressLineNumbers w:val="0"/>
              <w:autoSpaceDE w:val="0"/>
              <w:autoSpaceDN/>
              <w:spacing w:before="0" w:beforeAutospacing="0" w:after="0" w:afterAutospacing="0" w:line="360" w:lineRule="auto"/>
              <w:ind w:left="0" w:right="0"/>
              <w:jc w:val="left"/>
              <w:rPr>
                <w:rFonts w:hint="eastAsia" w:asciiTheme="minorEastAsia" w:hAnsiTheme="minorEastAsia" w:eastAsiaTheme="minorEastAsia" w:cstheme="minorEastAsia"/>
                <w:b/>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650" w:type="dxa"/>
            <w:tcBorders>
              <w:tl2br w:val="nil"/>
              <w:tr2bl w:val="nil"/>
            </w:tcBorders>
            <w:vAlign w:val="center"/>
          </w:tcPr>
          <w:p w14:paraId="0BFA48E3">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4"/>
                <w:lang w:eastAsia="zh-CN"/>
              </w:rPr>
              <w:t>展示文章</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让学生更加仔细的阅读，从而</w:t>
            </w:r>
            <w:r>
              <w:rPr>
                <w:rFonts w:hint="eastAsia" w:asciiTheme="minorEastAsia" w:hAnsiTheme="minorEastAsia" w:eastAsiaTheme="minorEastAsia" w:cstheme="minorEastAsia"/>
                <w:b/>
                <w:szCs w:val="24"/>
              </w:rPr>
              <w:t>激发学生的学习欲望。</w:t>
            </w:r>
          </w:p>
        </w:tc>
      </w:tr>
      <w:tr w14:paraId="6BB52A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65E4F728">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 w:val="24"/>
                <w:szCs w:val="24"/>
                <w:lang w:eastAsia="zh-CN"/>
              </w:rPr>
              <w:t>作业布置</w:t>
            </w:r>
            <w:r>
              <w:rPr>
                <w:rFonts w:hint="eastAsia" w:asciiTheme="minorEastAsia" w:hAnsiTheme="minorEastAsia" w:eastAsiaTheme="minorEastAsia" w:cstheme="minorEastAsia"/>
                <w:b w:val="0"/>
                <w:bCs w:val="0"/>
                <w:szCs w:val="24"/>
              </w:rPr>
              <w:t>（</w:t>
            </w:r>
            <w:r>
              <w:rPr>
                <w:rFonts w:hint="eastAsia" w:asciiTheme="minorEastAsia" w:hAnsiTheme="minorEastAsia" w:eastAsiaTheme="minorEastAsia" w:cstheme="minorEastAsia"/>
                <w:b w:val="0"/>
                <w:bCs w:val="0"/>
                <w:szCs w:val="24"/>
                <w:lang w:val="en-US" w:eastAsia="zh-CN"/>
              </w:rPr>
              <w:t>3</w:t>
            </w:r>
            <w:r>
              <w:rPr>
                <w:rFonts w:hint="eastAsia" w:asciiTheme="minorEastAsia" w:hAnsiTheme="minorEastAsia" w:eastAsiaTheme="minorEastAsia" w:cstheme="minorEastAsia"/>
                <w:b w:val="0"/>
                <w:bCs w:val="0"/>
                <w:szCs w:val="24"/>
              </w:rPr>
              <w:t>min）</w:t>
            </w:r>
          </w:p>
        </w:tc>
        <w:tc>
          <w:tcPr>
            <w:tcW w:w="7014" w:type="dxa"/>
            <w:tcBorders>
              <w:tl2br w:val="nil"/>
              <w:tr2bl w:val="nil"/>
            </w:tcBorders>
            <w:vAlign w:val="center"/>
          </w:tcPr>
          <w:p w14:paraId="2D1A8D5B">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45FEC7BB">
            <w:pPr>
              <w:keepNext w:val="0"/>
              <w:keepLines w:val="0"/>
              <w:suppressLineNumbers w:val="0"/>
              <w:spacing w:before="0" w:beforeAutospacing="0" w:after="0" w:afterAutospacing="0" w:line="360" w:lineRule="auto"/>
              <w:ind w:left="0" w:right="0" w:firstLine="422" w:firstLineChars="200"/>
              <w:rPr>
                <w:rFonts w:hint="eastAsia" w:asciiTheme="minorEastAsia" w:hAnsiTheme="minorEastAsia" w:eastAsiaTheme="minorEastAsia" w:cstheme="minorEastAsia"/>
                <w:bCs/>
              </w:rPr>
            </w:pPr>
            <w:r>
              <w:rPr>
                <w:rFonts w:hint="eastAsia" w:asciiTheme="minorEastAsia" w:hAnsiTheme="minorEastAsia" w:eastAsiaTheme="minorEastAsia" w:cstheme="minorEastAsia"/>
                <w:b/>
                <w:bCs/>
                <w:color w:val="231F20"/>
                <w:kern w:val="0"/>
                <w:sz w:val="21"/>
                <w:szCs w:val="21"/>
                <w:lang w:val="en-US" w:eastAsia="zh-CN" w:bidi="ar"/>
              </w:rPr>
              <w:t>简述献血工作的管理体制</w:t>
            </w:r>
            <w:r>
              <w:rPr>
                <w:rFonts w:hint="eastAsia" w:asciiTheme="minorEastAsia" w:hAnsiTheme="minorEastAsia" w:eastAsiaTheme="minorEastAsia" w:cstheme="minorEastAsia"/>
                <w:color w:val="231F20"/>
                <w:kern w:val="0"/>
                <w:sz w:val="21"/>
                <w:szCs w:val="21"/>
                <w:lang w:val="en-US" w:eastAsia="zh-CN" w:bidi="ar"/>
              </w:rPr>
              <w:t>？</w:t>
            </w:r>
          </w:p>
        </w:tc>
        <w:tc>
          <w:tcPr>
            <w:tcW w:w="1650" w:type="dxa"/>
            <w:tcBorders>
              <w:tl2br w:val="nil"/>
              <w:tr2bl w:val="nil"/>
            </w:tcBorders>
            <w:vAlign w:val="center"/>
          </w:tcPr>
          <w:p w14:paraId="422DB015">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val="0"/>
                <w:bCs/>
                <w:szCs w:val="24"/>
              </w:rPr>
              <w:t>通过课后练习，使学生巩固所学新知识</w:t>
            </w:r>
          </w:p>
        </w:tc>
      </w:tr>
      <w:tr w14:paraId="069065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4D272EFA">
            <w:pPr>
              <w:keepNext w:val="0"/>
              <w:keepLines w:val="0"/>
              <w:suppressLineNumbers w:val="0"/>
              <w:spacing w:before="0" w:beforeAutospacing="0" w:after="0" w:afterAutospacing="0" w:line="264" w:lineRule="auto"/>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4BDCB93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（40min）</w:t>
            </w:r>
          </w:p>
        </w:tc>
        <w:tc>
          <w:tcPr>
            <w:tcW w:w="7014" w:type="dxa"/>
            <w:tcBorders>
              <w:tl2br w:val="nil"/>
              <w:tr2bl w:val="nil"/>
            </w:tcBorders>
            <w:vAlign w:val="center"/>
          </w:tcPr>
          <w:p w14:paraId="147DF280">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lang w:val="en-US"/>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展示采供血站的管理和血液制品的管理</w:t>
            </w:r>
          </w:p>
          <w:p w14:paraId="71347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为了确保血液安全，规范血站执业行为，促进血站的建设与发展，原卫生部于2005年11月17日发布了《血站管理办法》，于2006年3月1日施行，同时废止1998年9月21日颁发的《血站管理办法（暂行）》。</w:t>
            </w:r>
          </w:p>
          <w:p w14:paraId="460774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一、血站的概念与分类</w:t>
            </w:r>
          </w:p>
          <w:p w14:paraId="6645F3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站是指不以赢利为目的，采集、提供临床用血的公益性卫生机构。血站分为一般血站和特殊血站。一般血站包括血液中心、中心血站（血站）和中心血库；特殊血站包括脐带血造血干细胞库和卫计委根据医学发展需要批准、设置的其他类型血库。血站是专业性、责任心很强的机构，是具有社会公益性的组织，必须以全部精力为公民用血健康服务，在地方各级政府的支持和管理下必须依法做好采集、提供临床用血的工作。血液中心、中心血站和中心血库由地方人民政府设立。血站的建设和发展应当纳入当地国民经济和社会发展计划。</w:t>
            </w:r>
          </w:p>
          <w:p w14:paraId="1FC7B4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卫计委根据全国医疗资源配置、临床用血需求，制定全国采供血机构设置规划指导原则，负责全国血站建设规划的指导并主管全国血站的监督管理工作。省、自治区、直辖市人民政府卫生行政部门应当根据前款规定，结合本行政区域人口、医疗资源、临床用血需求等实际情况和当地区域卫生发展规划，制定本行政区域血站设置规划，报同级人民政府批准，报卫计委备案，并负责本行政区域内血站的监督管理工作。</w:t>
            </w:r>
          </w:p>
          <w:p w14:paraId="363912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二、一般血站的管理</w:t>
            </w:r>
          </w:p>
          <w:p w14:paraId="1F8C2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（一）一般血站的设置与职责</w:t>
            </w:r>
          </w:p>
          <w:p w14:paraId="17377F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1.血液中心的设置与职责</w:t>
            </w:r>
            <w:r>
              <w:rPr>
                <w:rFonts w:hint="eastAsia" w:asciiTheme="minorEastAsia" w:hAnsiTheme="minorEastAsia" w:eastAsiaTheme="minorEastAsia" w:cstheme="minorEastAsia"/>
                <w:color w:val="231F20"/>
                <w:kern w:val="0"/>
                <w:sz w:val="21"/>
                <w:szCs w:val="21"/>
                <w:lang w:val="en-US" w:eastAsia="zh-CN" w:bidi="ar"/>
              </w:rPr>
              <w:t>血液中心应当设置在直辖市、省会市、自治区首府市。</w:t>
            </w:r>
          </w:p>
          <w:p w14:paraId="5FA00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其主要职责是：①按照省级人民政府卫生行政部门的要求，在规定范围内开展无偿献血者的招募、血液的采集与制备、临床用血供应以及医疗用血的业务指导等工作；②承担所在省、自治区、直辖市血站的质量控制与评价；③承担所在省、自治区、直辖市血站的业务培训与技术指导；④承担所在省、自治区、直辖市血液的集中化检测任务⑤开展血液相关的科研工作；⑥承担卫生行政部门交办的任务。血液中心应当具有较高综合质量评价的技术能力。</w:t>
            </w:r>
          </w:p>
          <w:p w14:paraId="0AB277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2.中心血站的设置与职责</w:t>
            </w:r>
            <w:r>
              <w:rPr>
                <w:rFonts w:hint="eastAsia" w:asciiTheme="minorEastAsia" w:hAnsiTheme="minorEastAsia" w:eastAsiaTheme="minorEastAsia" w:cstheme="minorEastAsia"/>
                <w:color w:val="231F20"/>
                <w:kern w:val="0"/>
                <w:sz w:val="21"/>
                <w:szCs w:val="21"/>
                <w:lang w:val="en-US" w:eastAsia="zh-CN" w:bidi="ar"/>
              </w:rPr>
              <w:t>中心血站应当设置在设区的市。其主要职责是：①按照省级人民政府卫生行政部门的要求，在规定范围内开展无偿献血者的招募、血液的采集与制备、临床用血供应以及医疗用血的业务指导等工作；②承担供血区域范围内血液储存的质量控制；③对所在行政区域内的中心血库进行质量控制；④承担卫生行政部门交办的任务。直辖市、省会市、自治区首府市已经设置血液中心的，不再设置中心血站；</w:t>
            </w:r>
          </w:p>
          <w:p w14:paraId="2DE71E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尚未设置血液中心的，可以在已经设置的中心血站基础上加强能力建设，履行血液中心的职责。</w:t>
            </w:r>
          </w:p>
          <w:p w14:paraId="541E70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3.中心血库的设置与职责</w:t>
            </w:r>
            <w:r>
              <w:rPr>
                <w:rFonts w:hint="eastAsia" w:asciiTheme="minorEastAsia" w:hAnsiTheme="minorEastAsia" w:eastAsiaTheme="minorEastAsia" w:cstheme="minorEastAsia"/>
                <w:color w:val="231F20"/>
                <w:kern w:val="0"/>
                <w:sz w:val="21"/>
                <w:szCs w:val="21"/>
                <w:lang w:val="en-US" w:eastAsia="zh-CN" w:bidi="ar"/>
              </w:rPr>
              <w:t>中心血库应当设置在中心血站服务覆盖不到的县级综合医院内。其主要职责是：按照省级人民政府卫生行政部门的要求，在规定范围内开展无偿献血者的招募、血液的采集与制备、临床用血供应以及医疗用血业务指导等工作。</w:t>
            </w:r>
          </w:p>
          <w:p w14:paraId="01C5C9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省、自治区、直辖市人民政府卫生行政部门依据采供血机构设置规划批准设置血站，并报卫计委备案。省、自治区、直辖市人民政府卫生行政部门负责明确辖区内各级卫生行政部门监管责任和血站的职责；根据实际供血距离与能力等情况，负责划定血站采供血服务区域，采供血服务区域可以不受行政区域的限制。同一行政区域内不得重复设置血液中心、中心血站。</w:t>
            </w:r>
          </w:p>
          <w:p w14:paraId="3C3ADA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（二）血站的执业登记与审批</w:t>
            </w:r>
          </w:p>
          <w:p w14:paraId="4CCB0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血站管理办法》规定，血站开展采供血活动，应当向所在省、自治区、直辖市人民政府卫生行政部门申请办理执业登记。血站申请办理执业登记必须填写《血站执业登记申请书》。省级人民政府卫生行政部门在受理血站执业登记申请后，应当组织有关专家或者委托技术部门，根据《血站质量管理规范》和《血站实验室质量管理规范》，对申请单位进行技术审查，提交技术审查报告，并在接到专家或者技术部门的技术审查报告后20个工作日内对申请事项进行审核。审核合格的，予以执业登记，发给卫生部统一样式的《血站执业许可证》及其副本。没有取得《血站执业许可证》的，不得开展采供血活动。《血站执业许可证》有效期为3年。《血站执业许可证》有效期满前3个月，血站应当办理再次执业登记，并提交《血站再次执业登记申请书》及《血站执业许可证》。省级人民政府卫生行政部门根据血站业务开展和监督检查情况进行审核，审核合格的，予以继续执业。未通过审核的，责令其限期整改；经整改仍审核不合格的，注销其《血站执业许可证》。未办理再次执业登记手续或者被注销《血站执业许可证》的血站，不得继续执业。</w:t>
            </w:r>
          </w:p>
          <w:p w14:paraId="538A7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有下列情形之一的，不予执业登记：①《血站质量管理规范》技术审查不合格的；②《血站实验室质量管理规范》技术审查不合格的；③血液质量检测结果不合格的。执业登记机关对审核不合格、不予执业登记的，将结果和理由以书面形式通知申请人。根据规划予以撤销的血站，应当在撤销后15日内向执业登记机关申请办理注销执业登记。逾期不办理的，由执业登记机关依程序予以注销，并收回《血站执业许可证》及其副本和全套印章。</w:t>
            </w:r>
          </w:p>
          <w:p w14:paraId="5A291D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血站因采供血需要，在规定的服务区域内设置分支机构的，应当报所在省、自治区、直辖市人民政府卫生行政部门批准；设置固定采血点（室）或者流动采血车的，应当报省、自治区、直辖市人民政府卫生行政部门备案。为保证辖区内临床用血需要，血站可以设置储血点储存血液。储血点应当具备必要的储存条件，并由省级卫生行政部门批准。</w:t>
            </w:r>
          </w:p>
          <w:p w14:paraId="126D7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（三）血站的执业管理</w:t>
            </w:r>
          </w:p>
          <w:p w14:paraId="13BD5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站执业，应当遵守有关法律、行政法规、规章和技术规范。应当根据医疗机构临床用血需求，制订血液采集、制备、供应计划，保障临床用血安全、及时、有效。应当开展无偿献血宣传。开展献血者招募活动，为献血者提供安全、卫生、便利的条件和良好的服务。应当按照国家有关规定对献血者进行健康检查和血液采集。</w:t>
            </w:r>
          </w:p>
          <w:p w14:paraId="2167D4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（四）血站的采血管理</w:t>
            </w:r>
          </w:p>
          <w:p w14:paraId="28D6B5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站采血是以采血器材与人体内血液发生直接接触的活动，这无疑要求对这一活动的每一个环节进行严格规范和管理，它是保障献血者的身体健康、保证血液质量以及用血者用血安全的重要前提。因此《献血法》和《血站管理办法》对血站的采血管理有着如下严格规定。</w:t>
            </w:r>
          </w:p>
          <w:p w14:paraId="6E121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血站采集血液必须严格遵守有关操作规程和制度，采血必须由具有采血资格的医务人员进行。也就是说，血站工作人员应当符合岗位执业资格的规定，并接受血液安全和业务岗位培训与考核，领取岗位培训合格证书后方可上岗。每人每年应当接受不少于75学时的岗位继续教育。</w:t>
            </w:r>
          </w:p>
          <w:p w14:paraId="40B7F2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（2）血站在采血前，必须对献血者按照《献血者健康检查标准》进行免费健康检查，健康检查不合格的，不得采集其血液。一次性采血器材用后必须销毁，确保献血者的身体健康。</w:t>
            </w:r>
          </w:p>
          <w:p w14:paraId="46AE9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血站应当建立对有易感染经血液传播疾病危险行为的献血者献血后的报告工作程序、献血屏蔽和淘汰制度。必须对采供血业务实行全面质量管理，严格遵守《中国输血技术操作规程》《血站质量管理规范》和《血站实验室质量规范》等技术规范和标准。</w:t>
            </w:r>
          </w:p>
          <w:p w14:paraId="36DDD2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根据国务院卫生行政部门制定的标准，保证血液质量。应当保证所采集的血液由具有血液检测实验室资格的实验室进行检测。对检测不合格或者报废的血液，应当严格按照有关规定处理。未经检测或者检测不合格的血液，不得向医疗机构提供。</w:t>
            </w:r>
          </w:p>
          <w:p w14:paraId="332157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血站采血前应当对献血者身份进行核对并进行登记；献血者应当按照要求出示真实的身份证明。任何单位和个人不得组织冒名顶替者献血。严禁采集冒名顶替者的血液。同时，采集血液应当遵循自愿和知情同意的原则，并对献血者履行规定的告知义务。应当建立献血者信息保密制度，为献血者保密。献血、检测和供血的原始记录应当至少保存10年，法律、行政法规和卫计委另有规定的，依照有关规定执行。</w:t>
            </w:r>
          </w:p>
          <w:p w14:paraId="5D063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（5）血站对献血者每次采集血液量一般为200mL，最高不得超过400mL，两次采集间隔期不少于6个月。严禁超量、频繁采集血液。</w:t>
            </w:r>
          </w:p>
          <w:p w14:paraId="1792AB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血站应当建立人员岗位责任制度和采供血管理相关工作制度，并定期检查、考核各项规章制度和各级各类人员岗位责任制的执行和落实情况。各业务岗位工作记录应当内容真实、项目完整、格式规范、字迹清楚、记录及时，有操作者签名。记录内容需要更改时，应当保持原记录内容清晰可辨，注明更改内容、原因和日期，并在更改处签名。</w:t>
            </w:r>
          </w:p>
          <w:p w14:paraId="297EF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具备血液检测实验室资格的血站，应当制定实验室室内质控与室间质评制度，确保试剂、卫生器材、仪器、设备在使用过程中能达到预期效果。实验室应当配备必要的生物安全设备和设施，并对工作人员进行生物安全知识培训。</w:t>
            </w:r>
          </w:p>
          <w:p w14:paraId="09E91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（8）血站应当加强消毒、隔离工作管理，预防和控制感染性疾病的传播。所产生的医疗废物应当按《医疗废物管理条例》规定处理，做好记录与签字，避免交叉感染。</w:t>
            </w:r>
          </w:p>
          <w:p w14:paraId="166AAC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（9）血液检测的全血标本的保存期应当与全血有效期相同；血清（浆）标本的保存期应当在全血有效期满后半年。</w:t>
            </w:r>
          </w:p>
          <w:p w14:paraId="713B53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10）血液的包装、储存、运输应当符合《血站质量管理规范》的要求。血液包装袋上应当标明：①血站的名称及其许可证号；②献血编号或者条形码；③血型；④血液品种；⑤采血日期及时间或者制备日期及时间；⑥有效日期及时间；⑦储存条件。</w:t>
            </w:r>
          </w:p>
          <w:p w14:paraId="626D69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（五）血站供血管理</w:t>
            </w:r>
          </w:p>
          <w:p w14:paraId="5B84E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血站应当保证发出的血液质量符合国家有关标准，其品种、规格、数量、活性、血型无差错；未经检测或者检测不合格的血液，不得向医疗机构提供；应当建立质量投诉、不良反应监测和血液收回制度；应当加强对其所设储血点的质量监督，确保储存条件，保证血液储存质量；按照临床需要进行血液储存和调换；无偿献血的血液必须用于临床，不得买卖。</w:t>
            </w:r>
          </w:p>
          <w:p w14:paraId="79BE5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血站应当按照有关规定，认真填写采供血机构统计报表，及时准确上报；应当制定紧急灾害应急预案，并从血源、管理制度、技术能力和设备条件等方面保证预案的实施。在紧急灾害发生时服从县级以上人民政府卫生行政部门的调遣。</w:t>
            </w:r>
          </w:p>
          <w:p w14:paraId="186D39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特殊血型的血液需要从外省、自治区、直辖市调配的，由省级人民政府卫生行政部门批准；因科研或者特殊需要而进行血液调配的，由省级人民政府卫生行政部门批准；出于人道主义、救死扶伤的目的，需要向中国境外医疗机构提供血液及特殊血液成分的，应当严格按照有关规定办理手续。</w:t>
            </w:r>
          </w:p>
          <w:p w14:paraId="7B30DF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三、特殊血站的管理</w:t>
            </w:r>
          </w:p>
          <w:p w14:paraId="633D9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（一）脐带血与脐带血造血干细胞库的概念</w:t>
            </w:r>
          </w:p>
          <w:p w14:paraId="2DFDA4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脐带血，是指与孕妇和新生儿血容量及血循环无关的，由新生儿脐带扎断后的远端所采集的胎盘血。脐带血造血干细胞库是指以人体造血干细胞移植为目的，具有采集、处理、保存和提供造血干细胞的能力，并具有相当研究实力的特殊血站。</w:t>
            </w:r>
          </w:p>
          <w:p w14:paraId="6C408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（二）特殊血站的登记与审批</w:t>
            </w:r>
          </w:p>
          <w:p w14:paraId="6B2EFB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卫计委根据全国人口分布、卫生资源、临床造血干细胞移植需要等实际情况，统一制定我国脐带血造血干细胞库等特殊血站的设置规划和原则。国家不准设置以赢利为目的的脐带血造血干细胞库等特殊血站。申请设置脐带血造血干细胞库等特殊血站的，应当按照卫计委规定的条件向所在地省级人民政府卫生行政部门申请。省级人民政府卫生行政部门组织初审后报卫生部批准。</w:t>
            </w:r>
          </w:p>
          <w:p w14:paraId="01CB90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脐带血造血干细胞库等特殊血站执业，应当向所在地省级人民政府卫生行政部门申请办理执业登记。省级卫生行政部门应当组织有关专家和技术部门，按照本办法和卫生部制定的脐带血造血干细胞库等特殊血站的基本标准、技术规范，对申请单位进行技术审查及执业验收。审查合格的，发给《血站执业许可证》，并注明开展的业务。《血站执业许可证》有效期为3年。未取得《血站执业许可证》的，不得开展采供脐带血造血干细胞等业务。特殊血站在《血站执业许可证》有效期满后继续执业的，应当在《血站执业许可证》有效期满前3个月向原执业登记的省级人民政府卫生行政部门申请办理再次执业登记手续。</w:t>
            </w:r>
          </w:p>
          <w:p w14:paraId="3EDED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（三）特殊血站的执业要求</w:t>
            </w:r>
          </w:p>
          <w:p w14:paraId="75A1A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脐带血造血干细胞库等特殊血站执业除应当遵守上述一般血站的执业要求外，还应当遵守以下规定：①按照卫生部规定的脐带血造血干细胞库等特殊血站的基本标准、技术规范等执业；②脐带血等特殊血液成分的采集必须符合医学伦理的有关要求，并遵循自愿和知情同意的原则，脐带血造血干细胞库必须与捐献者签署经执业登记机关审核的知情同意书；③脐带血造血干细胞库等特殊血站只能向有造血干细胞移植经验和基础、并装备有造血干细胞移植所需的无菌病房和其他必需设施的医疗机构提供脐带血造血干细胞；④出于人道主义、救死扶伤的目的，必须向境外医疗机构提供脐带血造血干细胞等特殊血液成分的，应当严格按照国家有关人类遗传资源管理规定办理手续；⑤脐带血等特殊血液成分必须用于临床。</w:t>
            </w:r>
          </w:p>
          <w:p w14:paraId="1F49C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四、血站的监督管理和法律责任</w:t>
            </w:r>
          </w:p>
          <w:p w14:paraId="1E18FC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《血站管理办法》规定，国家实行血液质量监测、检定制度，对血站质量管理、血站实验室质量管理实行技术评审制度。因而必须加强对血站的监督管理。</w:t>
            </w:r>
          </w:p>
          <w:p w14:paraId="0D4266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（一）各级卫生行政部门监督管理职责</w:t>
            </w:r>
          </w:p>
          <w:p w14:paraId="00AF2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县级以上人民政府卫生行政部门对采供血活动履行下列监督管理职责：①制定临床用血储存、配送管理办法，并监督实施；②对下级卫生行政部门履行本办法规定的血站管理职责进行监督检查；③对辖区内血站执业活动进行日常监督检查，组织开展对采供血质量的不定期抽检；④对辖区内临床供血活动进行监督检查；⑤对违反《血站管理办法》的行为依法进行查处。</w:t>
            </w:r>
          </w:p>
          <w:p w14:paraId="0ECEB8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各级人民政府卫生行政部门应当对无偿献血者的招募、采血、供血活动予以支持、指导。并对本辖区内的血站执行有关规定情况和无偿献血比例、采供血服务质量、业务指导、人员培训、综合质量评价技术能力等情况进行评价及监督检查，按照卫计委的有关规定将结果上报，同时向社会公布。卫生行政部门在进行监督检查时，有权索取有关资料，血站不得隐瞒、阻碍或者拒绝。</w:t>
            </w:r>
          </w:p>
          <w:p w14:paraId="561F6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卫计委定期对血液中心执行有关规定情况和无偿献血比例、采供血服务质量、业务指导、人员培训、综合质量评价技术能力等情况以及脐带血造血干细胞库等特殊血站的质量管理状况进行评价及监督检查，并将结果向社会公布。</w:t>
            </w:r>
          </w:p>
          <w:p w14:paraId="7C7A4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卫生行政部门和工作人员在履行职责时，不得有以下行为：①对不符合法定条件的血站，批准其设置、执业登记或者变更登记，或者超越职权批准血站设置、执业登记或者变更登记；②对符合法定条件和设置规划的血站，不予批准其设置、执业登记或者变更登记，或者不在法定期限内批准其设置、执业登记或者变更登记；③对血站不履行监督管理职责。</w:t>
            </w:r>
          </w:p>
          <w:p w14:paraId="2E6FD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（5）各级人民政府卫生行政部门应当建立血站监督管理的举报、投诉机制，并对举报人和投诉人负有保密的义务。</w:t>
            </w:r>
          </w:p>
          <w:p w14:paraId="266520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（二）违反《血站管理办法》的法律责任</w:t>
            </w:r>
          </w:p>
          <w:p w14:paraId="78ABE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有下列行为之一的，属于非法采集血液，由县级以上地方人民政府卫生行政部门予以取缔，没收违法所得，可以并处10万元以下的罚款；构成犯罪的，依法追究刑事责任：①未经批准，擅自设置血站，开展采供血活动的；②已被注销的血站，仍开展采供血活动的；③已取得设置批准但尚未取得《血站执业许可证》即开展采供血活动，或者《血站执业许可证》有效期满未再次登记仍开展采供血活动的；④租用、借用、出租、出借、变造、伪造《血站执业许可证》开展采供血活动的。</w:t>
            </w:r>
          </w:p>
          <w:p w14:paraId="4BD05E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（2）血站出售无偿献血血液的，由县级以上地方人民政府卫生行政部门予以取缔，没收违法所得，可以并处10万元以下的罚款；构成犯罪的，依法追究刑事责任。</w:t>
            </w:r>
          </w:p>
          <w:p w14:paraId="77A8B1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血站有下列行为之一的，由县级以上地方人民政府卫生行政部门予以警告，责令改正；逾期不改正，或者造成经血液传播疾病发生，或者造成其他严重后果的，对负有责任的主管人员和其他直接负责人员，依法给予行政处分；构成犯罪的，依法追究刑事责任：①超出执业登记的项目、内容、范围开展业务活动的；</w:t>
            </w:r>
          </w:p>
          <w:p w14:paraId="520A8E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②工作人员未取得相关</w:t>
            </w:r>
          </w:p>
          <w:p w14:paraId="4129E6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岗位执业资格或者未经执业注册而从事采供血工作的；③血液检测实验室未取得相应资格即进行检测的；④擅自采集原料血浆、买卖血液的；⑤采集血液前，未按照国家颁布的献血者健康检查要求对献血者进行健康检查、检测的；⑥采集冒名顶替者、健康检查不合格者血液以及超量、频繁采集血液的；⑦违反输血技术操作规程、有关质量规范和标准的；⑧采血前未向献血者、特殊血液成分捐赠者履行规定的告知义务的；⑨擅自涂改、毁损或者不按规定保存工作记录的；⑩使用的药品、体外诊断试剂、一次性卫生器材不符合国家有关规定的；k重复使用一次性卫生器材的；l对检测不合格或者报废的血液，未按有关规定处理的；m未经批准擅自与外省、自治区、直辖市调配血液的；n未经批准向境外医疗机构提供血液或者特殊血液成分的；o未按规定保存血液标本的；p脐带血造血干细胞库等特殊血站违反有关技术规范的。造成经血液传播疾病发生或者其他严重后果的，卫生行政部门在行政处罚的同时，可以注销其《血站执业许可证》。</w:t>
            </w:r>
          </w:p>
          <w:p w14:paraId="3DEB5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（4）临床用血的包装、储存、运输，不符合国家规定的卫生标准和要求的，由县级以上地方人民政府卫生行政部门责令改正，给予警告。</w:t>
            </w:r>
          </w:p>
          <w:p w14:paraId="32EFA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血站违反规定，向医疗机构提供不符合国家规定标准的血液的，由县级以上人民政府卫生行政部门责令改正；情节严重，造成经血液途径传播的疾病传播或者有传播严重危险的，限期整顿，对直接负责的主管人员和其他责任人员，依法给予行政处分；构成犯罪的，依法追究刑事责任。</w:t>
            </w:r>
          </w:p>
          <w:p w14:paraId="0AFE1C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卫生行政部门及其工作人员违反有关规定，有下列情形之一的，依据《献血法》《行政许可法》的有关规定，由上级行政机关或者监察机关责令改正；情节严重的，对直接负责的主管人员和其他直接责任人员依法给予行政处分；构成犯罪的，依法追究刑事责任：①未按规定的程序审查而使不符合条件的申请者得到许可的；②对不符合条件的申请者准予许可或者超越法定职权做出准予许可决定的；③在许可审批过程中弄虚作假的；④对符合条件的设置及执业登记申请不予受理的；⑤对符合条件的申请不在法定期限内做出许可决定的；⑥不依法履行监督职责，或者监督不力造成严重后果的；⑦其他在执行本办法过程中，存在滥用职权、玩忽职守、徇私舞弊、索贿受贿等行为的。</w:t>
            </w:r>
          </w:p>
          <w:p w14:paraId="7FF82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血液制品的管理</w:t>
            </w:r>
          </w:p>
          <w:p w14:paraId="20A901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一、血液制品的立法</w:t>
            </w:r>
          </w:p>
          <w:p w14:paraId="54D08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是特指各种人血浆蛋白制品；原料血浆是指由单采血浆站采集的专用于血液制品生产原料的血浆。血液制品质量的优劣、真伪与使用者的身心健康和生命安全息息相关。为了加强血液制品管理，预防和控制经血液途径传播的疾病，保证血液制品的质量，国务院于1996年12月30日发布了《血液制品管理条例》，其中第三条规定：国务院卫生行政部门对全国的原料血浆的采集、供应和血液制品的生产、经营活动实施监督管理。县级以上地方各级人民政府卫生行政部门对本行政区域内的原料血浆的采集、供应和血液制品的生产、经营活动，实施监督管理。从此血液制品走向了法制管理的轨道。</w:t>
            </w:r>
          </w:p>
          <w:p w14:paraId="509F79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二、原料血浆的管理</w:t>
            </w:r>
          </w:p>
          <w:p w14:paraId="5BDA36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（一）单采血浆站的设置</w:t>
            </w:r>
          </w:p>
          <w:p w14:paraId="69495B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管理条例》规定，国家实行单采血浆站统一规划、设置的制度。国务院卫生行政部门根据核准的全国生产用原料血浆的需求，对单采血浆站的布局、数量和规模制定总体规划。省、自治区、直辖市人民政府卫生行政部门根据总体规</w:t>
            </w:r>
          </w:p>
          <w:p w14:paraId="5021BB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划制定本行政区域内单采血浆站设置规划和采集血浆的区域规划，并报国务院卫生行政部门备案。</w:t>
            </w:r>
          </w:p>
          <w:p w14:paraId="19C5C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单采血浆站由血液制品生产单位设置或者由县级人民政府卫生行政部门设置，专门从事单采血浆活动，具有独立法人资格。其他任何单位和个人不得从事单采血浆活动。</w:t>
            </w:r>
          </w:p>
          <w:p w14:paraId="1EA50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设置单采血浆站，必须具备下列条件：①符合单采血浆站布局、数量、规模的规划；②具有与所采集原料血浆相适应的卫生专业技术人员；③具有与所采集原料血浆相适应的场所及卫生环境；④具有识别供血浆者的身份识别系统；⑤具有与所采集原料血浆相适应的单采血浆机械及其他设施；⑥具有对所采集原料血浆进行质量检验的技术人员以及必要的仪器设备。在一个采血浆区域内，只能设置一个单采血浆站。严禁单采血</w:t>
            </w:r>
          </w:p>
          <w:p w14:paraId="39203D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浆站采集非划定区域内的供血浆者和其他人员的血浆。</w:t>
            </w:r>
          </w:p>
          <w:p w14:paraId="17D12E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（二）单采血浆站的申请与审批</w:t>
            </w:r>
          </w:p>
          <w:p w14:paraId="3E3DF1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申请设置单采血浆站的，由县级人民政府卫生行政部门初审，经设区的市、自治州人民政府卫生行政部门或者省、自治区人民政府设立的派出机关的卫生行政机构审查同意，报省、自治区、直辖市人民政府卫生行政部门审批；经审查符合条件的，由省、自治区、直辖市人民政府卫生行政部门核发《单采血浆许可证》，并报国务院卫生行政部门备案。单采血浆站只能对省、自治区、直辖市人民政府卫生行政部门划定区域内的供血浆者进行筛查和采集血浆。</w:t>
            </w:r>
          </w:p>
          <w:p w14:paraId="6EA591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（三）原料血浆的采集</w:t>
            </w:r>
          </w:p>
          <w:p w14:paraId="429E8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1.签发《供血浆证》</w:t>
            </w:r>
            <w:r>
              <w:rPr>
                <w:rFonts w:hint="eastAsia" w:asciiTheme="minorEastAsia" w:hAnsiTheme="minorEastAsia" w:eastAsiaTheme="minorEastAsia" w:cstheme="minorEastAsia"/>
                <w:color w:val="231F20"/>
                <w:kern w:val="0"/>
                <w:sz w:val="21"/>
                <w:szCs w:val="21"/>
                <w:lang w:val="en-US" w:eastAsia="zh-CN" w:bidi="ar"/>
              </w:rPr>
              <w:t>单采血浆站必须对供血浆者进行健康检查和血液化验；检查、化验合格的供血浆者，由县级人民政府卫生行政部门核发《供血浆证》。单采血浆站在采集血浆前，必须对供血浆者进行身份识别并核实其《供血浆证》，确认无误的，方可按照规定程序进行健康检查和血液化验；对检查、化验合格的供血浆者，按照有关技术操作标准及程序采集血浆，并建立供血浆者健康检查及供血浆记录档案；对检查、化验不合格的供血浆者，由单采血浆站收缴《供血浆证》，并由所在地县级人民政府卫生行政部门监督销毁。严禁采集无《供血浆证》者的血浆。《供血浆证》由省、自治区、直辖市人民政府卫生行政部门负责设计和印制。《供血浆证》不得涂改、伪造、转让。</w:t>
            </w:r>
          </w:p>
          <w:p w14:paraId="6DFE9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2.血浆采集</w:t>
            </w:r>
            <w:r>
              <w:rPr>
                <w:rFonts w:hint="eastAsia" w:asciiTheme="minorEastAsia" w:hAnsiTheme="minorEastAsia" w:eastAsiaTheme="minorEastAsia" w:cstheme="minorEastAsia"/>
                <w:color w:val="231F20"/>
                <w:kern w:val="0"/>
                <w:sz w:val="21"/>
                <w:szCs w:val="21"/>
                <w:lang w:val="en-US" w:eastAsia="zh-CN" w:bidi="ar"/>
              </w:rPr>
              <w:t>单采血浆站必须使用单采血浆机械采集血浆，严禁手工操作采集血浆。采集的血浆必须按单人份冰冻保存，不得混浆。单采血浆站必须使用有产品批准文号并经国家药品生物制品检定机构逐批检定合格的体外诊断试剂以及合格的一次性采血浆器材。采血浆器材等一次性消耗品使用后，必须按照国家有关规定予以销毁，并作记录。</w:t>
            </w:r>
          </w:p>
          <w:p w14:paraId="621660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3.血浆供应</w:t>
            </w:r>
            <w:r>
              <w:rPr>
                <w:rFonts w:hint="eastAsia" w:asciiTheme="minorEastAsia" w:hAnsiTheme="minorEastAsia" w:eastAsiaTheme="minorEastAsia" w:cstheme="minorEastAsia"/>
                <w:color w:val="231F20"/>
                <w:kern w:val="0"/>
                <w:sz w:val="21"/>
                <w:szCs w:val="21"/>
                <w:lang w:val="en-US" w:eastAsia="zh-CN" w:bidi="ar"/>
              </w:rPr>
              <w:t>单采血浆站只能向一个与其签订质量责任书的血液制品生产单位供应原料血浆，严禁向其他任何单位供应原料血浆。其采集的原料血浆的包装、储存、运输必须符合国家规定的卫生标准和要求。严禁单采血浆站采集血液或者将所采集的原料血浆用于临床。</w:t>
            </w:r>
          </w:p>
          <w:p w14:paraId="236981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三、血液制品生产经营单位的管理</w:t>
            </w:r>
          </w:p>
          <w:p w14:paraId="08516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（一）血液制品生产经营机构的设置条件</w:t>
            </w:r>
          </w:p>
          <w:p w14:paraId="1C617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新建、改建或者扩建血液制品生产单位，经国务院卫生行政部门根据总体规划进行立项审查同意后，由省、自治区、直辖市人民政府卫生行政部门依照药品管理法的规定审核批准。血液制品生产单位必须达到国务院卫生行政部门制定的《药品生产质量管理规范》规定的标准，经国务院卫生行政部门审查合格，并依法向工商行政管理部门申领营业执照后，方可从事血液制品的生产活动。严禁血液制品生产单位出让、出租、出借以及与他人共用《药品生产企业许可证》和产品批准文号。开办血液制品经营单位，由省、自治区、直辖市人民政府卫生行政部门审核批准。血液制品经营单位应当具备与所经营的产品相适应的冷藏条件和熟悉所经营品种的业务人员。</w:t>
            </w:r>
          </w:p>
          <w:p w14:paraId="41AE18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（二）血液制品的生产经营管理</w:t>
            </w:r>
          </w:p>
          <w:p w14:paraId="0EBFE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血液制品生产单位生产国内已经生产的品种，必须依法向国务院卫生行政部门申请产品批准文号；国内尚未生产的品种，必须按照国家有关新药审批的程序和要求申报。</w:t>
            </w:r>
          </w:p>
          <w:p w14:paraId="727C6A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血液制品生产单位不得向无《单采血浆许可证》的单采血浆站或者未与其签订质量责任书的单采血浆站及其他任何单位收集原料血浆。血液制品生产单位不得向其他任何单位供应原料血浆。</w:t>
            </w:r>
          </w:p>
          <w:p w14:paraId="60A58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生产单位在原料血浆投料生产前，必须对每一人份血浆进行全面复检，并作检测记录。原料血浆经复检不合格的，不得投料生产，并必须在省级药品监督员监督下按照规定程序和方法予以销毁，并作记录；原料血浆经复检发现有经血液途径传播的疾病的，必须通知供应血浆的单采血浆站，并及时上报所在地省、自治区、直辖市人民政府卫生行政部门。</w:t>
            </w:r>
          </w:p>
          <w:p w14:paraId="4D03D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四、血液制品监督管理及其法律责任</w:t>
            </w:r>
          </w:p>
          <w:p w14:paraId="2BD127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地方各级人民政府卫生行政部门依照《血液制品管理条例》的规定负责本行政区域内的单采血浆站、供血浆者、原料血浆的采集及血液制品经营单位的监督管理；省、自治区、直辖市人民政府卫生行政部门负责本行政区域内的血液制品生产单位的监督管理。</w:t>
            </w:r>
          </w:p>
          <w:p w14:paraId="7A5F75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省、自治区、直辖市人民政府卫生行政部门每年组织一次对本行政区域内单采血浆站的监督检查并进行年度注册；设区的市、自治州人民政府卫生行政部门或者省、自治区人民政府设立的派出机关的卫生行政机构每半年对本行政区域内的单采血浆站进行一次检查。</w:t>
            </w:r>
          </w:p>
          <w:p w14:paraId="07CB7D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国家药品生物制品检定机构及国务院卫生行政部门指定的省级药品检验机构，依照国家规定的标准和要求，对血液制品生产单位生产的产品定期进行检定。</w:t>
            </w:r>
          </w:p>
          <w:p w14:paraId="5486AD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务院卫生行政部门负责全国进出口血液制品的审批及监督管理。凡违反规定，未取得省、自治区、直辖市人民政府卫生行政部门核发的《单采血浆许可证》，非法从事组织、采集、供应、倒卖原料血浆活动的，由县级以上地方人民政府卫生行政部门予以取缔，没收违法所得和从事违法活动的器材、设备，并处违法所得５倍以上10倍以下的罚款，没有违法所得的，并处５万元以上10万元以下的罚款；造成经血液途径传播的疾病传播、人身伤害等危害，构成犯罪的，依法追究刑事责任。</w:t>
            </w:r>
          </w:p>
          <w:p w14:paraId="7E629A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单采血浆站有下列行为之一的，由县级以上地方人民政府卫生行政部门责令限期改正，处５万元以上10万元以下的罚款；有下列其他行为并且情节严重的，由省、自治区、直辖市人民政府卫生行政部门吊销《单采血浆许可证》；构成犯罪的，对负有直接责任的主管人员和其他直接责任人员依法追究刑事责任：①采集血浆前，未按照国务院卫生行政部门颁布的健康检查标准对供血浆者进行健康检查和血液化验的；②采集非划定区域内的供血浆者或者其他人员的血浆的，或者不对供血浆者进行身份识别，采集冒名顶替者、健康检查不合格者或者无《供血浆证》者的血浆的；③违反国务院卫生行政部门制定的血浆采集技术操作标准和程序，过频过量采集血浆的；④向医疗机构直接供应原料血浆或者擅自采集血液的；⑤未使用单采血浆机械进行血浆采集的；⑥未使用有产品批准文号并经国家药品生物制品检定机构逐批检定合格的体外诊断试剂以及合格的一次性采血浆器材的；⑦未按照国家规定的卫生标准和要求包装、储存、运输原料血浆的；⑧对国家规定检测项目检测结果呈阳性的血浆不清除、不及时上报的；⑨对污染的注射器、采血浆器材及不合格血浆等不经消毒处理，擅自倾倒，污染环境，造成社会危害的；⑩重复使用一次性采血浆器材的；⑪向与其签订质量责任书的血液制品生产单位以外的其他单位供应原料血浆的。</w:t>
            </w:r>
          </w:p>
          <w:p w14:paraId="7EB08C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单采血浆站已知其采集的血浆检测结果呈阳性，仍向血液制品生产单位供应的，由省、自治区、直辖市人民政府卫生行政部门吊销《单采血浆许可证》，由县级以上地方人民政府卫生行政部门没收违法所得，并处10万元以上30万元以下的罚款；造成经血液途径传播的疾病传播、人身伤害等危害，构成犯罪的，对负有直接责任的主管人员和其他直接责任人员依法追究刑事责任。</w:t>
            </w:r>
          </w:p>
          <w:p w14:paraId="176DF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涂改、伪造、转让《供血浆证》的，由县级人民政府卫生行政部门收缴《供血浆证》，没收违法所得，并处违法所得３倍以上５倍以下的罚款，没有违法所得的，并处１万元以下的罚款；构成犯罪的，依法追究刑事责任。</w:t>
            </w:r>
          </w:p>
          <w:p w14:paraId="4F704B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生产单位有下列行为之一的，由省级以上人民政府卫生行政部门依照药品管理法及其实施办法等有关规定，按照生产假药、劣药予以处罚；构成犯罪的，对负有直接责任的主管人员和其他直接责任人员依法追究刑事责任：①使用无《单采血浆许可证》的单采血浆站或者未与其签订质量责任书的单采血浆站及其他任何单位供应的原料血浆的，或者非法采集原料血浆的；②投料生产前未对原料血浆进行复检的，或者使用没有产品批准文号或者未经国家药品生物制品检定机构逐批检定合格的体外诊断试剂进行复检的，或者将检测不合格的原料血浆投入生产的；③擅自更改生产工艺和质量标准的，或者将检验不合格的产品出厂的；④与他人共用产品批准文号的。</w:t>
            </w:r>
          </w:p>
          <w:p w14:paraId="48F8BE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生产单位违反本条例规定，擅自向其他单位出让、出租、出借以及与他人共用《药品生产企业许可证》、产品批准文号或者供应原料血浆的，由省级以上人民政府卫生行政部门没收违法所得，并处违法所得５倍以上10倍以下的罚款，没有违法所得的，并处５万元以上10万元以下的罚款。</w:t>
            </w:r>
          </w:p>
          <w:p w14:paraId="6B7FC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违反本条例规定，血液制品生产经营单位生产、包装、储存、运输、经营血液制品不符合国家规定的卫生标准和要求的，由省、自治区、直辖市人民政府卫生行政部门责令改正，可以处１万元以下的罚款。</w:t>
            </w:r>
          </w:p>
          <w:p w14:paraId="49112C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规定擅自进出口血液制品或者出口原料血浆的，由省级以上人民政府卫生行政部门没收所进出口的血液制品或者所出口的原料血浆和违法所得，并处所进出口的血液制品或者所出口的原料血浆总值３倍以上５倍以下的罚款。</w:t>
            </w:r>
          </w:p>
          <w:p w14:paraId="4F587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血液制品检验人员虚报、瞒报、涂改、伪造检验报告及有关资料的，依法给予行政处分；构成犯罪的，依法追究刑事责任。卫生行政部门工作人员滥用职权、玩忽职守、徇私舞弊、索贿受贿，构成犯罪的，依法追究刑事责任；尚不构成犯罪的，依法给予行政处分。</w:t>
            </w:r>
          </w:p>
          <w:p w14:paraId="0DEF6AA1">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650" w:type="dxa"/>
            <w:tcBorders>
              <w:tl2br w:val="nil"/>
              <w:tr2bl w:val="nil"/>
            </w:tcBorders>
            <w:vAlign w:val="center"/>
          </w:tcPr>
          <w:p w14:paraId="6F106FD1">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szCs w:val="24"/>
              </w:rPr>
              <w:t>通过教师讲解，了解</w:t>
            </w:r>
            <w:r>
              <w:rPr>
                <w:rFonts w:hint="eastAsia" w:asciiTheme="minorEastAsia" w:hAnsiTheme="minorEastAsia" w:eastAsiaTheme="minorEastAsia" w:cstheme="minorEastAsia"/>
                <w:b/>
                <w:szCs w:val="24"/>
                <w:lang w:val="en-US" w:eastAsia="zh-CN"/>
              </w:rPr>
              <w:t>采供血站的管理和血液制品的管理</w:t>
            </w:r>
            <w:r>
              <w:rPr>
                <w:rFonts w:hint="eastAsia" w:asciiTheme="minorEastAsia" w:hAnsiTheme="minorEastAsia" w:eastAsiaTheme="minorEastAsia" w:cstheme="minorEastAsia"/>
                <w:b/>
                <w:szCs w:val="24"/>
              </w:rPr>
              <w:t>的基本理论知识。</w:t>
            </w:r>
          </w:p>
        </w:tc>
      </w:tr>
      <w:tr w14:paraId="0FC67D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7919D397">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116D09E9">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7014" w:type="dxa"/>
            <w:tcBorders>
              <w:tl2br w:val="nil"/>
              <w:tr2bl w:val="nil"/>
            </w:tcBorders>
            <w:vAlign w:val="center"/>
          </w:tcPr>
          <w:p w14:paraId="11B48A22">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0A9C4B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 xml:space="preserve">这节课我们一起学习了国家药品生物制品检定机构及国务院卫生行政部门指定的省级药品检验机构，依照国家规定的标准和要求，对血液制品生产单位生产的产品定期进行检定。 </w:t>
            </w:r>
          </w:p>
          <w:p w14:paraId="4828D2D0">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650" w:type="dxa"/>
            <w:tcBorders>
              <w:tl2br w:val="nil"/>
              <w:tr2bl w:val="nil"/>
            </w:tcBorders>
            <w:vAlign w:val="center"/>
          </w:tcPr>
          <w:p w14:paraId="41F1B87F">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78F112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6D162CC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b w:val="0"/>
                <w:bCs w:val="0"/>
                <w:kern w:val="2"/>
                <w:sz w:val="21"/>
                <w:szCs w:val="21"/>
                <w:lang w:val="en-US" w:eastAsia="zh-CN" w:bidi="ar"/>
              </w:rPr>
              <w:t>（2min）</w:t>
            </w:r>
          </w:p>
        </w:tc>
        <w:tc>
          <w:tcPr>
            <w:tcW w:w="7014" w:type="dxa"/>
            <w:tcBorders>
              <w:tl2br w:val="nil"/>
              <w:tr2bl w:val="nil"/>
            </w:tcBorders>
            <w:vAlign w:val="center"/>
          </w:tcPr>
          <w:p w14:paraId="64603FF9">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val="0"/>
                <w:bCs/>
                <w:color w:val="C00000"/>
                <w:kern w:val="2"/>
                <w:sz w:val="21"/>
                <w:szCs w:val="21"/>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4E11272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Cs/>
                <w:kern w:val="2"/>
                <w:sz w:val="21"/>
                <w:szCs w:val="21"/>
                <w:lang w:val="en-US" w:eastAsia="zh-CN" w:bidi="ar-SA"/>
              </w:rPr>
            </w:pPr>
            <w:r>
              <w:rPr>
                <w:rFonts w:hint="eastAsia" w:asciiTheme="minorEastAsia" w:hAnsiTheme="minorEastAsia" w:eastAsiaTheme="minorEastAsia" w:cstheme="minorEastAsia"/>
                <w:b/>
                <w:bCs/>
                <w:color w:val="231F20"/>
                <w:kern w:val="0"/>
                <w:sz w:val="21"/>
                <w:szCs w:val="21"/>
                <w:lang w:val="en-US" w:eastAsia="zh-CN" w:bidi="ar"/>
              </w:rPr>
              <w:t>血液制品的立法是什么</w:t>
            </w:r>
            <w:r>
              <w:rPr>
                <w:rFonts w:hint="eastAsia" w:asciiTheme="minorEastAsia" w:hAnsiTheme="minorEastAsia" w:eastAsiaTheme="minorEastAsia" w:cstheme="minorEastAsia"/>
                <w:bCs/>
                <w:kern w:val="2"/>
                <w:sz w:val="21"/>
                <w:szCs w:val="21"/>
                <w:lang w:val="en-US" w:eastAsia="zh-CN" w:bidi="ar"/>
              </w:rPr>
              <w:t>？</w:t>
            </w:r>
          </w:p>
        </w:tc>
        <w:tc>
          <w:tcPr>
            <w:tcW w:w="1650" w:type="dxa"/>
            <w:tcBorders>
              <w:tl2br w:val="nil"/>
              <w:tr2bl w:val="nil"/>
            </w:tcBorders>
            <w:vAlign w:val="center"/>
          </w:tcPr>
          <w:p w14:paraId="29A718A9">
            <w:pPr>
              <w:keepNext w:val="0"/>
              <w:keepLines w:val="0"/>
              <w:widowControl w:val="0"/>
              <w:suppressLineNumbers w:val="0"/>
              <w:spacing w:before="0" w:beforeAutospacing="0" w:after="0" w:afterAutospacing="0" w:line="360" w:lineRule="auto"/>
              <w:ind w:left="0" w:leftChars="0" w:right="0" w:rightChars="0"/>
              <w:jc w:val="left"/>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
              </w:rPr>
              <w:t>通过课后练习，使学生巩固所学新知识</w:t>
            </w:r>
          </w:p>
        </w:tc>
      </w:tr>
      <w:tr w14:paraId="0875BD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0AB1AF8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7014" w:type="dxa"/>
            <w:tcBorders>
              <w:tl2br w:val="nil"/>
              <w:tr2bl w:val="nil"/>
            </w:tcBorders>
            <w:vAlign w:val="center"/>
          </w:tcPr>
          <w:p w14:paraId="480FA2AF">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展示违反献血法的法律责任</w:t>
            </w:r>
          </w:p>
          <w:p w14:paraId="64E764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有下列行为之一的，由县级以上地方人民政府卫生行政部门予以取缔，没收违法所得，可以并处10万元以下的罚款，构成犯罪的，依法追究刑事责任：①非法采集血液的；②血站、医疗机构出售无偿献血的血液的；③非法组织他人出卖血液的。</w:t>
            </w:r>
          </w:p>
          <w:p w14:paraId="0C3CEC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一、临床用血的法律责任</w:t>
            </w:r>
          </w:p>
          <w:p w14:paraId="7D406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临床用血的包装、储存、运输，不符合国家规定的卫生标准和要求的，由县级以上地方人民政府卫生行政部门责令改正，给予警告，可以并处1万元以下的罚款。</w:t>
            </w:r>
          </w:p>
          <w:p w14:paraId="60BDD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二、实施机构与人员的法律责任</w:t>
            </w:r>
          </w:p>
          <w:p w14:paraId="36057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血站违反本法的规定，向医疗机构提供不符合国家规定标准的血液的，由县级以上地方人民政府卫生行政部门责令改正；情节严重，造成经血液途径传播的疾病或者有传播严重危险的，限期整顿，对直接负责的主管人员和其他直接责任人员，依法给予行政处分；构成犯罪的，依法追究刑事责任。</w:t>
            </w:r>
          </w:p>
          <w:p w14:paraId="638347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疗机构的医务人员违反本法规定，将不符合国家规定标准的血液用于患者的，由县级以上地方人民政府卫生行政部门责令改正；给患者健康造成损害的，应当依法赔偿，对直接负责的主管人员和其他直接责任人员，依法给予行政处分；构成犯罪的，依法追究刑事责任。</w:t>
            </w:r>
          </w:p>
          <w:p w14:paraId="71C50A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（3）卫生行政部门及其工作人员在献血、用血的监督管理工作中，玩忽职守，造成严重后果、构成犯罪的，依法追究刑事责任；尚不构成犯罪的，依法给予行政处分。</w:t>
            </w:r>
          </w:p>
          <w:p w14:paraId="39CF4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三、法律细则</w:t>
            </w:r>
          </w:p>
          <w:p w14:paraId="3A644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刑法》第三百三十三条规定：“非法组织他人出卖血液的，处5年以下有期徒刑，并处罚金；以暴力、威胁方法强迫他人出卖血液的，处5年以上10年以下有期徒刑，并处罚金。上述行为对他人造成伤害的，依照《中华人民共和国刑法》第二百三十四条规定，故意伤害他人身体的，处3年以下有期徒刑、拘役或者管制；致人重伤的，处3年以上10年以下有期徒刑；致人死亡或者以特别残忍手段致人重伤造成严重残疾的，处10年以上有期徒刑、无期徒刑或者死刑。”</w:t>
            </w:r>
          </w:p>
          <w:p w14:paraId="50D53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刑法》第三百三十四条规定：“非法采集、供应血液或者制作、供应血液制品，不符合国家规定的标准，足以危害人体健康的，处5年以下有期徒刑或者拘役，并处罚金；对人体健康造成严重危害的，处5年以上10年以下有期徒刑，并处罚金；造成特别严重后果的，处10年以上有期徒刑或者无期徒刑，并处罚金或者没收财产。”</w:t>
            </w:r>
          </w:p>
          <w:p w14:paraId="5402F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经国家主管部门批准采集、供应血液或者制作、供应血液制品的部门，不依照规定进行检测或者违背其他操作规定，造成危害他人身体健康后果的，对单位判处罚金，并对其直接负责的主管人员和其他直接责任人员，处5年以下有期徒刑或者拘役。</w:t>
            </w:r>
          </w:p>
          <w:p w14:paraId="5668D1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《中华人民共和国刑法》第三百三十五条规定：“医务人员由于严重不负责任，造成就诊人死亡或者严重损害就诊人身体健康的，处3年以下有期徒刑或者拘役。”</w:t>
            </w:r>
          </w:p>
          <w:p w14:paraId="50F521A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p>
          <w:p w14:paraId="509E3263">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bCs w:val="0"/>
                <w:color w:val="C00000"/>
                <w:kern w:val="2"/>
                <w:sz w:val="21"/>
                <w:szCs w:val="21"/>
              </w:rPr>
            </w:pPr>
          </w:p>
          <w:p w14:paraId="63F08C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heme="minorEastAsia" w:hAnsiTheme="minorEastAsia" w:eastAsiaTheme="minorEastAsia" w:cstheme="minorEastAsia"/>
                <w:color w:val="538135"/>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650" w:type="dxa"/>
            <w:tcBorders>
              <w:tl2br w:val="nil"/>
              <w:tr2bl w:val="nil"/>
            </w:tcBorders>
            <w:vAlign w:val="center"/>
          </w:tcPr>
          <w:p w14:paraId="662F7AE6">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w:t>
            </w:r>
            <w:r>
              <w:rPr>
                <w:rFonts w:hint="eastAsia" w:asciiTheme="minorEastAsia" w:hAnsiTheme="minorEastAsia" w:eastAsiaTheme="minorEastAsia" w:cstheme="minorEastAsia"/>
                <w:b/>
                <w:szCs w:val="24"/>
                <w:lang w:eastAsia="zh-CN"/>
              </w:rPr>
              <w:t>生了解</w:t>
            </w:r>
            <w:r>
              <w:rPr>
                <w:rFonts w:hint="eastAsia" w:asciiTheme="minorEastAsia" w:hAnsiTheme="minorEastAsia" w:eastAsiaTheme="minorEastAsia" w:cstheme="minorEastAsia"/>
                <w:b/>
                <w:szCs w:val="24"/>
                <w:lang w:val="en-US" w:eastAsia="zh-CN"/>
              </w:rPr>
              <w:t>违反献血法的法律责任</w:t>
            </w:r>
            <w:r>
              <w:rPr>
                <w:rFonts w:hint="eastAsia" w:asciiTheme="minorEastAsia" w:hAnsiTheme="minorEastAsia" w:eastAsiaTheme="minorEastAsia" w:cstheme="minorEastAsia"/>
                <w:b/>
                <w:szCs w:val="24"/>
                <w:lang w:eastAsia="zh-CN"/>
              </w:rPr>
              <w:t>的基本理</w:t>
            </w:r>
            <w:r>
              <w:rPr>
                <w:rFonts w:hint="eastAsia" w:asciiTheme="minorEastAsia" w:hAnsiTheme="minorEastAsia" w:eastAsiaTheme="minorEastAsia" w:cstheme="minorEastAsia"/>
                <w:b/>
                <w:szCs w:val="24"/>
              </w:rPr>
              <w:t>论知识。</w:t>
            </w:r>
          </w:p>
        </w:tc>
      </w:tr>
      <w:tr w14:paraId="3A9E83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65C9AAC6">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72A63234">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7014" w:type="dxa"/>
            <w:tcBorders>
              <w:tl2br w:val="nil"/>
              <w:tr2bl w:val="nil"/>
            </w:tcBorders>
            <w:vAlign w:val="center"/>
          </w:tcPr>
          <w:p w14:paraId="7702EB5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54A323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这节课我们一起学习了《中华人民共和国刑法》第三百三十五条规定：“医务人员由于严重不负责任，造成就诊人死亡或者严重损害就诊人身体健康的，处 3 年以下有期徒刑或者拘役。”</w:t>
            </w:r>
          </w:p>
          <w:p w14:paraId="4C9CDA44">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650" w:type="dxa"/>
            <w:tcBorders>
              <w:tl2br w:val="nil"/>
              <w:tr2bl w:val="nil"/>
            </w:tcBorders>
            <w:vAlign w:val="center"/>
          </w:tcPr>
          <w:p w14:paraId="033ECD90">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7D5CF5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4AF48BE8">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7014" w:type="dxa"/>
            <w:tcBorders>
              <w:tl2br w:val="nil"/>
              <w:tr2bl w:val="nil"/>
            </w:tcBorders>
            <w:vAlign w:val="center"/>
          </w:tcPr>
          <w:p w14:paraId="1BF25F51">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153807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简述违反《献血法》的法律责任。</w:t>
            </w:r>
          </w:p>
          <w:p w14:paraId="5522323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SA"/>
              </w:rPr>
            </w:pPr>
          </w:p>
        </w:tc>
        <w:tc>
          <w:tcPr>
            <w:tcW w:w="1650" w:type="dxa"/>
            <w:tcBorders>
              <w:tl2br w:val="nil"/>
              <w:tr2bl w:val="nil"/>
            </w:tcBorders>
            <w:vAlign w:val="center"/>
          </w:tcPr>
          <w:p w14:paraId="05358003">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4A71E1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C8E6FF"/>
            <w:vAlign w:val="center"/>
          </w:tcPr>
          <w:p w14:paraId="1FEED03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教学反思</w:t>
            </w:r>
          </w:p>
        </w:tc>
        <w:tc>
          <w:tcPr>
            <w:tcW w:w="8664" w:type="dxa"/>
            <w:gridSpan w:val="2"/>
            <w:tcBorders>
              <w:tl2br w:val="nil"/>
              <w:tr2bl w:val="nil"/>
            </w:tcBorders>
            <w:vAlign w:val="center"/>
          </w:tcPr>
          <w:p w14:paraId="1A0AF5F6">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rPr>
            </w:pPr>
            <w:r>
              <w:rPr>
                <w:rFonts w:hint="eastAsia" w:asciiTheme="minorEastAsia" w:hAnsiTheme="minorEastAsia" w:eastAsiaTheme="minorEastAsia" w:cstheme="minorEastAsia"/>
              </w:rPr>
              <w:t>要调整备课，发现学生有创意的闪光点，同时在调整中，师生分享彼此的思考、交流彼此的情感，丰富教学内容。</w:t>
            </w:r>
          </w:p>
        </w:tc>
      </w:tr>
    </w:tbl>
    <w:p w14:paraId="0C16793D"/>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9D4DE36-7B53-4E8E-A315-DEFA218C4D4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F69FDAEE-BAE9-435E-8F73-6DFFEA02207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36F73802-2090-41C8-AEA8-B718EAF35BDF}"/>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0AA9F3B0-6C33-4F5A-9433-E1A228BA3A2D}"/>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5B910B3"/>
    <w:rsid w:val="17EF1AA9"/>
    <w:rsid w:val="18934C0E"/>
    <w:rsid w:val="1DDF7A40"/>
    <w:rsid w:val="1FB84519"/>
    <w:rsid w:val="2003061B"/>
    <w:rsid w:val="20F13C9B"/>
    <w:rsid w:val="20FB5A46"/>
    <w:rsid w:val="21A37E40"/>
    <w:rsid w:val="238347DF"/>
    <w:rsid w:val="239A1546"/>
    <w:rsid w:val="24B477DD"/>
    <w:rsid w:val="25D565A0"/>
    <w:rsid w:val="278141AB"/>
    <w:rsid w:val="28B578A7"/>
    <w:rsid w:val="295126A7"/>
    <w:rsid w:val="2C710C40"/>
    <w:rsid w:val="322A12C5"/>
    <w:rsid w:val="34AD60CD"/>
    <w:rsid w:val="34B67F89"/>
    <w:rsid w:val="368D542E"/>
    <w:rsid w:val="37101AAB"/>
    <w:rsid w:val="388B134B"/>
    <w:rsid w:val="3AB3405B"/>
    <w:rsid w:val="3AE66A84"/>
    <w:rsid w:val="3C237941"/>
    <w:rsid w:val="4151103E"/>
    <w:rsid w:val="436C72A2"/>
    <w:rsid w:val="43CD7F64"/>
    <w:rsid w:val="43DB451C"/>
    <w:rsid w:val="44B33A23"/>
    <w:rsid w:val="45C91BBA"/>
    <w:rsid w:val="48117C08"/>
    <w:rsid w:val="49F8701E"/>
    <w:rsid w:val="4B2C6678"/>
    <w:rsid w:val="4C7F0E23"/>
    <w:rsid w:val="4FFA4F97"/>
    <w:rsid w:val="537C59B1"/>
    <w:rsid w:val="582E68E8"/>
    <w:rsid w:val="59253C51"/>
    <w:rsid w:val="5A7C6694"/>
    <w:rsid w:val="5AF50835"/>
    <w:rsid w:val="5E340A9B"/>
    <w:rsid w:val="5EC549C2"/>
    <w:rsid w:val="5FFC3909"/>
    <w:rsid w:val="600E33E1"/>
    <w:rsid w:val="622A303A"/>
    <w:rsid w:val="65274800"/>
    <w:rsid w:val="67797A29"/>
    <w:rsid w:val="69362744"/>
    <w:rsid w:val="6A4D41E9"/>
    <w:rsid w:val="6D751B92"/>
    <w:rsid w:val="6F8275FE"/>
    <w:rsid w:val="6FA83C70"/>
    <w:rsid w:val="723010AC"/>
    <w:rsid w:val="72E15E16"/>
    <w:rsid w:val="76411C10"/>
    <w:rsid w:val="798B5E75"/>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24</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2025-07-24T05:18:58Z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8AA88E26560345A4AE353211B413A154_13</vt:lpwstr>
  </property>
  <property fmtid="{D5CDD505-2E9C-101B-9397-08002B2CF9AE}" pid="4" name="KSOTemplateDocerSaveRecord">
    <vt:lpwstr>eyJoZGlkIjoiOTcxZjc4Y2ViNTBlZDVmZTI3YTAxZGE1NWVmM2E2NDEiLCJ1c2VySWQiOiI0MDMzMDA2MzYifQ==</vt:lpwstr>
  </property>
</Properties>
</file>